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FD4D6" w14:textId="2915F21D" w:rsidR="00D96327" w:rsidRDefault="00D96327" w:rsidP="00D96327">
      <w:pPr>
        <w:spacing w:after="160" w:line="259" w:lineRule="auto"/>
        <w:ind w:left="0" w:right="0" w:firstLine="0"/>
        <w:jc w:val="left"/>
        <w:rPr>
          <w:b/>
          <w:color w:val="279ABD"/>
          <w:sz w:val="36"/>
        </w:rPr>
      </w:pPr>
      <w:bookmarkStart w:id="0" w:name="_Hlk156986839"/>
      <w:bookmarkEnd w:id="0"/>
      <w:r w:rsidRPr="00D96327">
        <w:rPr>
          <w:rFonts w:ascii="Cambria" w:eastAsia="Cambria" w:hAnsi="Cambria" w:cs="Times New Roman"/>
          <w:noProof/>
          <w:color w:val="auto"/>
          <w:sz w:val="24"/>
          <w:szCs w:val="24"/>
        </w:rPr>
        <w:drawing>
          <wp:anchor distT="0" distB="0" distL="114300" distR="114300" simplePos="0" relativeHeight="251659264" behindDoc="1" locked="0" layoutInCell="1" allowOverlap="1" wp14:anchorId="31C3B97C" wp14:editId="10A720AA">
            <wp:simplePos x="0" y="0"/>
            <wp:positionH relativeFrom="margin">
              <wp:posOffset>-381000</wp:posOffset>
            </wp:positionH>
            <wp:positionV relativeFrom="paragraph">
              <wp:posOffset>-1567180</wp:posOffset>
            </wp:positionV>
            <wp:extent cx="8524240" cy="12702529"/>
            <wp:effectExtent l="0" t="0" r="0" b="4445"/>
            <wp:wrapNone/>
            <wp:docPr id="4" name="Picture 0" descr="report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front.jpg"/>
                    <pic:cNvPicPr/>
                  </pic:nvPicPr>
                  <pic:blipFill>
                    <a:blip r:embed="rId7"/>
                    <a:stretch>
                      <a:fillRect/>
                    </a:stretch>
                  </pic:blipFill>
                  <pic:spPr>
                    <a:xfrm>
                      <a:off x="0" y="0"/>
                      <a:ext cx="8524240" cy="12702529"/>
                    </a:xfrm>
                    <a:prstGeom prst="rect">
                      <a:avLst/>
                    </a:prstGeom>
                  </pic:spPr>
                </pic:pic>
              </a:graphicData>
            </a:graphic>
            <wp14:sizeRelH relativeFrom="margin">
              <wp14:pctWidth>0</wp14:pctWidth>
            </wp14:sizeRelH>
            <wp14:sizeRelV relativeFrom="margin">
              <wp14:pctHeight>0</wp14:pctHeight>
            </wp14:sizeRelV>
          </wp:anchor>
        </w:drawing>
      </w:r>
    </w:p>
    <w:p w14:paraId="0230E949" w14:textId="304B6DFE" w:rsidR="00D96327" w:rsidRDefault="00D96327" w:rsidP="00D96327">
      <w:pPr>
        <w:spacing w:after="160" w:line="259" w:lineRule="auto"/>
        <w:ind w:left="0" w:right="0" w:firstLine="0"/>
        <w:jc w:val="left"/>
        <w:rPr>
          <w:b/>
          <w:color w:val="279ABD"/>
          <w:sz w:val="36"/>
        </w:rPr>
      </w:pPr>
    </w:p>
    <w:p w14:paraId="20F6E9D9" w14:textId="77777777" w:rsidR="00D96327" w:rsidRDefault="00D96327" w:rsidP="00D96327">
      <w:pPr>
        <w:spacing w:after="160" w:line="259" w:lineRule="auto"/>
        <w:ind w:left="0" w:right="0" w:firstLine="0"/>
        <w:jc w:val="left"/>
        <w:rPr>
          <w:b/>
          <w:color w:val="279ABD"/>
          <w:sz w:val="36"/>
        </w:rPr>
      </w:pPr>
    </w:p>
    <w:p w14:paraId="34F70304" w14:textId="77777777" w:rsidR="00D96327" w:rsidRDefault="00D96327" w:rsidP="00D96327">
      <w:pPr>
        <w:spacing w:after="160" w:line="259" w:lineRule="auto"/>
        <w:ind w:left="0" w:right="0" w:firstLine="0"/>
        <w:jc w:val="left"/>
        <w:rPr>
          <w:b/>
          <w:color w:val="279ABD"/>
          <w:sz w:val="36"/>
        </w:rPr>
      </w:pPr>
    </w:p>
    <w:p w14:paraId="1E940CA7" w14:textId="77777777" w:rsidR="00D96327" w:rsidRDefault="00D96327" w:rsidP="00D96327">
      <w:pPr>
        <w:spacing w:after="160" w:line="259" w:lineRule="auto"/>
        <w:ind w:left="0" w:right="0" w:firstLine="0"/>
        <w:jc w:val="left"/>
        <w:rPr>
          <w:b/>
          <w:color w:val="279ABD"/>
          <w:sz w:val="36"/>
        </w:rPr>
      </w:pPr>
    </w:p>
    <w:p w14:paraId="5708F4C2" w14:textId="77777777" w:rsidR="00D96327" w:rsidRDefault="00D96327" w:rsidP="00D96327">
      <w:pPr>
        <w:spacing w:after="160" w:line="259" w:lineRule="auto"/>
        <w:ind w:left="0" w:right="0" w:firstLine="0"/>
        <w:jc w:val="left"/>
        <w:rPr>
          <w:b/>
          <w:color w:val="279ABD"/>
          <w:sz w:val="36"/>
        </w:rPr>
      </w:pPr>
    </w:p>
    <w:p w14:paraId="32A3ACC9" w14:textId="77777777" w:rsidR="00D96327" w:rsidRDefault="00D96327" w:rsidP="00D96327">
      <w:pPr>
        <w:spacing w:after="160" w:line="259" w:lineRule="auto"/>
        <w:ind w:left="0" w:right="0" w:firstLine="0"/>
        <w:jc w:val="left"/>
        <w:rPr>
          <w:b/>
          <w:color w:val="279ABD"/>
          <w:sz w:val="36"/>
        </w:rPr>
      </w:pPr>
    </w:p>
    <w:p w14:paraId="45E73B4D" w14:textId="77777777" w:rsidR="00D96327" w:rsidRDefault="00D96327" w:rsidP="00D96327">
      <w:pPr>
        <w:spacing w:after="160" w:line="259" w:lineRule="auto"/>
        <w:ind w:left="0" w:right="0" w:firstLine="0"/>
        <w:jc w:val="left"/>
        <w:rPr>
          <w:b/>
          <w:color w:val="279ABD"/>
          <w:sz w:val="36"/>
        </w:rPr>
      </w:pPr>
    </w:p>
    <w:p w14:paraId="31FE2E68" w14:textId="52D8E4D6" w:rsidR="00D96327" w:rsidRDefault="00D96327" w:rsidP="00D96327">
      <w:pPr>
        <w:spacing w:after="160" w:line="259" w:lineRule="auto"/>
        <w:ind w:left="0" w:right="0" w:firstLine="0"/>
        <w:jc w:val="left"/>
        <w:rPr>
          <w:b/>
          <w:color w:val="279ABD"/>
          <w:sz w:val="36"/>
        </w:rPr>
      </w:pPr>
    </w:p>
    <w:p w14:paraId="63D20098" w14:textId="507D5256" w:rsidR="00D96327" w:rsidRDefault="00D96327" w:rsidP="00D96327">
      <w:pPr>
        <w:spacing w:after="160" w:line="259" w:lineRule="auto"/>
        <w:ind w:left="0" w:right="0" w:firstLine="0"/>
        <w:jc w:val="left"/>
        <w:rPr>
          <w:b/>
          <w:color w:val="279ABD"/>
          <w:sz w:val="36"/>
        </w:rPr>
      </w:pPr>
    </w:p>
    <w:p w14:paraId="2728D736" w14:textId="77777777" w:rsidR="00D96327" w:rsidRDefault="00D96327" w:rsidP="00D96327">
      <w:pPr>
        <w:spacing w:after="160" w:line="259" w:lineRule="auto"/>
        <w:ind w:left="0" w:right="0" w:firstLine="0"/>
        <w:jc w:val="left"/>
        <w:rPr>
          <w:b/>
          <w:color w:val="279ABD"/>
          <w:sz w:val="36"/>
        </w:rPr>
      </w:pPr>
    </w:p>
    <w:p w14:paraId="1C7DBBDD" w14:textId="1288DA3B" w:rsidR="00D96327" w:rsidRPr="00D96327" w:rsidRDefault="00D96327" w:rsidP="00D96327">
      <w:pPr>
        <w:spacing w:after="160" w:line="259" w:lineRule="auto"/>
        <w:ind w:left="0" w:right="0" w:firstLine="0"/>
        <w:jc w:val="left"/>
        <w:rPr>
          <w:b/>
          <w:color w:val="279ABD"/>
          <w:sz w:val="36"/>
        </w:rPr>
      </w:pPr>
      <w:r>
        <w:rPr>
          <w:noProof/>
        </w:rPr>
        <mc:AlternateContent>
          <mc:Choice Requires="wps">
            <w:drawing>
              <wp:anchor distT="0" distB="0" distL="114300" distR="114300" simplePos="0" relativeHeight="251661312" behindDoc="0" locked="0" layoutInCell="1" allowOverlap="1" wp14:anchorId="130ACA00" wp14:editId="6E71233D">
                <wp:simplePos x="0" y="0"/>
                <wp:positionH relativeFrom="margin">
                  <wp:align>center</wp:align>
                </wp:positionH>
                <wp:positionV relativeFrom="paragraph">
                  <wp:posOffset>537210</wp:posOffset>
                </wp:positionV>
                <wp:extent cx="6400800" cy="3048000"/>
                <wp:effectExtent l="0" t="0" r="0" b="0"/>
                <wp:wrapTight wrapText="bothSides">
                  <wp:wrapPolygon edited="0">
                    <wp:start x="129" y="405"/>
                    <wp:lineTo x="129" y="21195"/>
                    <wp:lineTo x="21407" y="21195"/>
                    <wp:lineTo x="21407" y="405"/>
                    <wp:lineTo x="129" y="405"/>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07234" w14:textId="77777777" w:rsidR="00D96327" w:rsidRDefault="00D96327" w:rsidP="00D96327">
                            <w:pPr>
                              <w:tabs>
                                <w:tab w:val="left" w:pos="1134"/>
                                <w:tab w:val="left" w:pos="2552"/>
                              </w:tabs>
                              <w:rPr>
                                <w:color w:val="FFFFFF" w:themeColor="background1"/>
                                <w:sz w:val="72"/>
                                <w:lang w:val="en-GB"/>
                              </w:rPr>
                            </w:pPr>
                          </w:p>
                          <w:p w14:paraId="1359EF6A" w14:textId="469F4114" w:rsidR="00D96327" w:rsidRPr="00D96327" w:rsidRDefault="00D96327" w:rsidP="00D96327">
                            <w:pPr>
                              <w:tabs>
                                <w:tab w:val="left" w:pos="1134"/>
                                <w:tab w:val="left" w:pos="2552"/>
                              </w:tabs>
                              <w:jc w:val="center"/>
                              <w:rPr>
                                <w:color w:val="FFFFFF" w:themeColor="background1"/>
                                <w:sz w:val="56"/>
                                <w:szCs w:val="56"/>
                                <w:lang w:val="en-GB"/>
                              </w:rPr>
                            </w:pPr>
                            <w:r w:rsidRPr="00D96327">
                              <w:rPr>
                                <w:color w:val="FFFFFF" w:themeColor="background1"/>
                                <w:sz w:val="56"/>
                                <w:szCs w:val="56"/>
                                <w:lang w:val="en-GB"/>
                              </w:rPr>
                              <w:t>Protected Disclosures Policy</w:t>
                            </w:r>
                          </w:p>
                          <w:p w14:paraId="13E155A4" w14:textId="77777777" w:rsidR="00D96327" w:rsidRDefault="00D96327" w:rsidP="00D96327">
                            <w:pPr>
                              <w:tabs>
                                <w:tab w:val="left" w:pos="1134"/>
                                <w:tab w:val="left" w:pos="2552"/>
                              </w:tabs>
                              <w:jc w:val="center"/>
                              <w:rPr>
                                <w:color w:val="FFFFFF" w:themeColor="background1"/>
                                <w:sz w:val="56"/>
                                <w:szCs w:val="56"/>
                                <w:lang w:val="en-GB"/>
                              </w:rPr>
                            </w:pPr>
                          </w:p>
                          <w:p w14:paraId="768F77E6" w14:textId="5E1983C7" w:rsidR="00D96327" w:rsidRPr="00D96327" w:rsidRDefault="00D96327" w:rsidP="00D96327">
                            <w:pPr>
                              <w:tabs>
                                <w:tab w:val="left" w:pos="1134"/>
                                <w:tab w:val="left" w:pos="2552"/>
                              </w:tabs>
                              <w:jc w:val="center"/>
                              <w:rPr>
                                <w:color w:val="FFFFFF" w:themeColor="background1"/>
                                <w:sz w:val="56"/>
                                <w:szCs w:val="56"/>
                                <w:lang w:val="en-GB"/>
                              </w:rPr>
                            </w:pPr>
                            <w:r w:rsidRPr="00D96327">
                              <w:rPr>
                                <w:color w:val="FFFFFF" w:themeColor="background1"/>
                                <w:sz w:val="56"/>
                                <w:szCs w:val="56"/>
                                <w:lang w:val="en-GB"/>
                              </w:rPr>
                              <w:t>January 2024</w:t>
                            </w:r>
                          </w:p>
                          <w:p w14:paraId="7C4263A9" w14:textId="77777777" w:rsidR="00D96327" w:rsidRDefault="00D96327" w:rsidP="00D96327">
                            <w:pPr>
                              <w:tabs>
                                <w:tab w:val="left" w:pos="1134"/>
                                <w:tab w:val="left" w:pos="2552"/>
                              </w:tabs>
                              <w:jc w:val="center"/>
                              <w:rPr>
                                <w:color w:val="FFFFFF" w:themeColor="background1"/>
                                <w:sz w:val="72"/>
                                <w:lang w:val="en-GB"/>
                              </w:rPr>
                            </w:pPr>
                          </w:p>
                          <w:p w14:paraId="19F64667" w14:textId="2C15DF05" w:rsidR="00D96327" w:rsidRPr="00214DC9" w:rsidRDefault="00D96327" w:rsidP="00D96327">
                            <w:pPr>
                              <w:tabs>
                                <w:tab w:val="left" w:pos="1134"/>
                                <w:tab w:val="left" w:pos="2552"/>
                              </w:tabs>
                              <w:rPr>
                                <w:color w:val="FFFFFF" w:themeColor="background1"/>
                                <w:sz w:val="72"/>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ACA00" id="_x0000_t202" coordsize="21600,21600" o:spt="202" path="m,l,21600r21600,l21600,xe">
                <v:stroke joinstyle="miter"/>
                <v:path gradientshapeok="t" o:connecttype="rect"/>
              </v:shapetype>
              <v:shape id="Text Box 3" o:spid="_x0000_s1026" type="#_x0000_t202" style="position:absolute;margin-left:0;margin-top:42.3pt;width:7in;height:240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" filled="f" stroked="f">
                <v:textbox inset=",7.2pt,,7.2pt">
                  <w:txbxContent>
                    <w:p w14:paraId="30F07234" w14:textId="77777777" w:rsidR="00D96327" w:rsidRDefault="00D96327" w:rsidP="00D96327">
                      <w:pPr>
                        <w:tabs>
                          <w:tab w:val="left" w:pos="1134"/>
                          <w:tab w:val="left" w:pos="2552"/>
                        </w:tabs>
                        <w:rPr>
                          <w:color w:val="FFFFFF" w:themeColor="background1"/>
                          <w:sz w:val="72"/>
                          <w:lang w:val="en-GB"/>
                        </w:rPr>
                      </w:pPr>
                    </w:p>
                    <w:p w14:paraId="1359EF6A" w14:textId="469F4114" w:rsidR="00D96327" w:rsidRPr="00D96327" w:rsidRDefault="00D96327" w:rsidP="00D96327">
                      <w:pPr>
                        <w:tabs>
                          <w:tab w:val="left" w:pos="1134"/>
                          <w:tab w:val="left" w:pos="2552"/>
                        </w:tabs>
                        <w:jc w:val="center"/>
                        <w:rPr>
                          <w:color w:val="FFFFFF" w:themeColor="background1"/>
                          <w:sz w:val="56"/>
                          <w:szCs w:val="56"/>
                          <w:lang w:val="en-GB"/>
                        </w:rPr>
                      </w:pPr>
                      <w:r w:rsidRPr="00D96327">
                        <w:rPr>
                          <w:color w:val="FFFFFF" w:themeColor="background1"/>
                          <w:sz w:val="56"/>
                          <w:szCs w:val="56"/>
                          <w:lang w:val="en-GB"/>
                        </w:rPr>
                        <w:t>Protected Disclosures Policy</w:t>
                      </w:r>
                    </w:p>
                    <w:p w14:paraId="13E155A4" w14:textId="77777777" w:rsidR="00D96327" w:rsidRDefault="00D96327" w:rsidP="00D96327">
                      <w:pPr>
                        <w:tabs>
                          <w:tab w:val="left" w:pos="1134"/>
                          <w:tab w:val="left" w:pos="2552"/>
                        </w:tabs>
                        <w:jc w:val="center"/>
                        <w:rPr>
                          <w:color w:val="FFFFFF" w:themeColor="background1"/>
                          <w:sz w:val="56"/>
                          <w:szCs w:val="56"/>
                          <w:lang w:val="en-GB"/>
                        </w:rPr>
                      </w:pPr>
                    </w:p>
                    <w:p w14:paraId="768F77E6" w14:textId="5E1983C7" w:rsidR="00D96327" w:rsidRPr="00D96327" w:rsidRDefault="00D96327" w:rsidP="00D96327">
                      <w:pPr>
                        <w:tabs>
                          <w:tab w:val="left" w:pos="1134"/>
                          <w:tab w:val="left" w:pos="2552"/>
                        </w:tabs>
                        <w:jc w:val="center"/>
                        <w:rPr>
                          <w:color w:val="FFFFFF" w:themeColor="background1"/>
                          <w:sz w:val="56"/>
                          <w:szCs w:val="56"/>
                          <w:lang w:val="en-GB"/>
                        </w:rPr>
                      </w:pPr>
                      <w:r w:rsidRPr="00D96327">
                        <w:rPr>
                          <w:color w:val="FFFFFF" w:themeColor="background1"/>
                          <w:sz w:val="56"/>
                          <w:szCs w:val="56"/>
                          <w:lang w:val="en-GB"/>
                        </w:rPr>
                        <w:t>January 2024</w:t>
                      </w:r>
                    </w:p>
                    <w:p w14:paraId="7C4263A9" w14:textId="77777777" w:rsidR="00D96327" w:rsidRDefault="00D96327" w:rsidP="00D96327">
                      <w:pPr>
                        <w:tabs>
                          <w:tab w:val="left" w:pos="1134"/>
                          <w:tab w:val="left" w:pos="2552"/>
                        </w:tabs>
                        <w:jc w:val="center"/>
                        <w:rPr>
                          <w:color w:val="FFFFFF" w:themeColor="background1"/>
                          <w:sz w:val="72"/>
                          <w:lang w:val="en-GB"/>
                        </w:rPr>
                      </w:pPr>
                    </w:p>
                    <w:p w14:paraId="19F64667" w14:textId="2C15DF05" w:rsidR="00D96327" w:rsidRPr="00214DC9" w:rsidRDefault="00D96327" w:rsidP="00D96327">
                      <w:pPr>
                        <w:tabs>
                          <w:tab w:val="left" w:pos="1134"/>
                          <w:tab w:val="left" w:pos="2552"/>
                        </w:tabs>
                        <w:rPr>
                          <w:color w:val="FFFFFF" w:themeColor="background1"/>
                          <w:sz w:val="72"/>
                          <w:lang w:val="en-GB"/>
                        </w:rPr>
                      </w:pPr>
                    </w:p>
                  </w:txbxContent>
                </v:textbox>
                <w10:wrap type="tight" anchorx="margin"/>
              </v:shape>
            </w:pict>
          </mc:Fallback>
        </mc:AlternateContent>
      </w:r>
    </w:p>
    <w:p w14:paraId="6312891F" w14:textId="74925867" w:rsidR="00C52B3D" w:rsidRDefault="00E2478A" w:rsidP="00D96327">
      <w:pPr>
        <w:pStyle w:val="Heading1"/>
        <w:ind w:left="0"/>
        <w:jc w:val="center"/>
      </w:pPr>
      <w:r>
        <w:t>Protected Disclosures Policy</w:t>
      </w:r>
    </w:p>
    <w:p w14:paraId="46F8AFD6" w14:textId="77777777" w:rsidR="00D96327" w:rsidRPr="00D96327" w:rsidRDefault="00D96327" w:rsidP="00D96327"/>
    <w:p w14:paraId="700C8D62" w14:textId="42454AB8" w:rsidR="00C52B3D" w:rsidRDefault="00E2478A">
      <w:pPr>
        <w:pStyle w:val="Heading2"/>
        <w:tabs>
          <w:tab w:val="center" w:pos="1103"/>
          <w:tab w:val="center" w:pos="3101"/>
        </w:tabs>
        <w:ind w:left="0" w:firstLine="0"/>
      </w:pPr>
      <w:r>
        <w:rPr>
          <w:rFonts w:ascii="Calibri" w:eastAsia="Calibri" w:hAnsi="Calibri" w:cs="Calibri"/>
          <w:b w:val="0"/>
        </w:rPr>
        <w:tab/>
      </w:r>
      <w:r>
        <w:t>1</w:t>
      </w:r>
      <w:r w:rsidR="00683A9B">
        <w:t>.</w:t>
      </w:r>
      <w:r>
        <w:tab/>
        <w:t>Introduction and Purpose</w:t>
      </w:r>
    </w:p>
    <w:p w14:paraId="2C98CB0F" w14:textId="46C13508" w:rsidR="00C52B3D" w:rsidRDefault="00E2478A">
      <w:pPr>
        <w:ind w:right="41"/>
      </w:pPr>
      <w:r>
        <w:t xml:space="preserve">1.1 </w:t>
      </w:r>
      <w:r w:rsidR="00750E44">
        <w:tab/>
      </w:r>
      <w:r>
        <w:t>CORU</w:t>
      </w:r>
      <w:r w:rsidR="00FA5BCD">
        <w:t xml:space="preserve"> </w:t>
      </w:r>
      <w:r>
        <w:t>- Health &amp; Social Care Professionals Council is committed to maintaining the highest ethical and professional standards in the performance of its functions and the conduct of its business within the Council. Staff have an important role in ensuring that these standards are maintained. The Council encourages workers to bring to its attention any relevant wrongdoings which may occur within the workings of the Council.</w:t>
      </w:r>
    </w:p>
    <w:p w14:paraId="7CB2CBD9" w14:textId="6ABBD117" w:rsidR="00C52B3D" w:rsidRDefault="00E2478A">
      <w:pPr>
        <w:ind w:right="41"/>
      </w:pPr>
      <w:r>
        <w:t xml:space="preserve">1.2 </w:t>
      </w:r>
      <w:r w:rsidR="00750E44">
        <w:tab/>
      </w:r>
      <w:r>
        <w:t>The Council has implemented a variety of organisational policies and procedures to support adherence to these standards. For example, the Council's Fraud Policy, clearly states that the Council is committed to the prevention and detection of fraud and to promptly investigate any possibility of fraudulent or related dishonest activities. The Protected Disclosures Act 2014 (as amended</w:t>
      </w:r>
      <w:r w:rsidR="00CB6B40">
        <w:t xml:space="preserve"> by the Protected Disclosures (Amendment) Act 2022</w:t>
      </w:r>
      <w:r>
        <w:t>) (the “PDA”) provides statutory protection for workers making a Protected Disclosure and the purpose of this policy is to encourage workers to make Protected Disclosures as soon as possible and to reassure them that they can do so without fear of reprisal and, where appropriate, in confidence.</w:t>
      </w:r>
    </w:p>
    <w:p w14:paraId="72433605" w14:textId="0E024232" w:rsidR="00C52B3D" w:rsidRDefault="00E2478A">
      <w:pPr>
        <w:spacing w:after="499"/>
        <w:ind w:right="41"/>
      </w:pPr>
      <w:r>
        <w:t xml:space="preserve">1.3 </w:t>
      </w:r>
      <w:r w:rsidR="00750E44">
        <w:tab/>
      </w:r>
      <w:r>
        <w:t>The Council recognises that its workers carry out their work with integrity and professionalism. There may be circumstances where the high standards may not be adhered to and situations when things go wrong. Workers will usually be the first to know and suspect when someone in the organisation has done or is doing something improper or illegal. The Council recognises that workers may have difficulty in</w:t>
      </w:r>
      <w:r w:rsidR="002D227D">
        <w:t xml:space="preserve"> </w:t>
      </w:r>
      <w:r>
        <w:t>expressing their concerns due to a sense of loyalty to colleagues or the possible negative impact on the reputation of the Council.</w:t>
      </w:r>
    </w:p>
    <w:p w14:paraId="177C5721" w14:textId="46C9AED7" w:rsidR="00C52B3D" w:rsidRDefault="00E2478A">
      <w:pPr>
        <w:pStyle w:val="Heading2"/>
        <w:tabs>
          <w:tab w:val="center" w:pos="1103"/>
          <w:tab w:val="center" w:pos="2092"/>
        </w:tabs>
        <w:ind w:left="0" w:firstLine="0"/>
      </w:pPr>
      <w:r>
        <w:rPr>
          <w:rFonts w:ascii="Calibri" w:eastAsia="Calibri" w:hAnsi="Calibri" w:cs="Calibri"/>
          <w:b w:val="0"/>
        </w:rPr>
        <w:tab/>
      </w:r>
      <w:r>
        <w:t>2</w:t>
      </w:r>
      <w:r w:rsidR="00683A9B">
        <w:t>.</w:t>
      </w:r>
      <w:r>
        <w:tab/>
        <w:t>Scope</w:t>
      </w:r>
    </w:p>
    <w:p w14:paraId="18274377" w14:textId="35E31C55" w:rsidR="00C52B3D" w:rsidRDefault="00E2478A">
      <w:pPr>
        <w:ind w:right="41"/>
      </w:pPr>
      <w:r>
        <w:t xml:space="preserve">2.1 </w:t>
      </w:r>
      <w:r w:rsidR="00750E44">
        <w:tab/>
      </w:r>
      <w:r>
        <w:t>This Protected Disclosures Policy (“this policy”) applies to all “workers” and as defined by the PDA and is intended to provide a safe and secure mechanism for workers who wish to make a Protected Disclosure. “Worker” includes employees; consultants; contractors; volunteers; trainees; work experience students; interns; part-time, full-time, casual and agency workers and persons who acquire information on a relevant wrongdoing during a recruitment process or other pre-contractual process</w:t>
      </w:r>
      <w:r w:rsidR="00750E44">
        <w:t>.</w:t>
      </w:r>
    </w:p>
    <w:p w14:paraId="3553E1BB" w14:textId="1E42735E" w:rsidR="00C52B3D" w:rsidRDefault="00E2478A" w:rsidP="00163D42">
      <w:pPr>
        <w:ind w:right="41"/>
      </w:pPr>
      <w:r>
        <w:t>2.2</w:t>
      </w:r>
      <w:r>
        <w:tab/>
        <w:t xml:space="preserve">A Protected Disclosure is defined as a disclosure of </w:t>
      </w:r>
      <w:r w:rsidR="007202AB">
        <w:t xml:space="preserve">relevant </w:t>
      </w:r>
      <w:r>
        <w:t>information which, in the reasonable belief of the worker, tends to show one or more "relevant wrongdoings‟, which came to</w:t>
      </w:r>
      <w:r w:rsidR="002D227D">
        <w:t xml:space="preserve"> </w:t>
      </w:r>
      <w:r>
        <w:t xml:space="preserve">the attention of the worker </w:t>
      </w:r>
      <w:r w:rsidRPr="00163D42">
        <w:t xml:space="preserve">in </w:t>
      </w:r>
      <w:r w:rsidR="00163D42" w:rsidRPr="00163D42">
        <w:rPr>
          <w:color w:val="auto"/>
        </w:rPr>
        <w:t xml:space="preserve">a </w:t>
      </w:r>
      <w:r w:rsidR="002D227D" w:rsidRPr="00163D42">
        <w:rPr>
          <w:color w:val="auto"/>
        </w:rPr>
        <w:t>work-related</w:t>
      </w:r>
      <w:r w:rsidRPr="00163D42">
        <w:rPr>
          <w:color w:val="auto"/>
        </w:rPr>
        <w:t xml:space="preserve"> context </w:t>
      </w:r>
      <w:r>
        <w:t>and is disclosed in the manner prescribed in the PDA.</w:t>
      </w:r>
    </w:p>
    <w:p w14:paraId="6E0790EE" w14:textId="77777777" w:rsidR="00C52B3D" w:rsidRDefault="00E2478A">
      <w:pPr>
        <w:tabs>
          <w:tab w:val="center" w:pos="1195"/>
          <w:tab w:val="center" w:pos="4155"/>
        </w:tabs>
        <w:ind w:left="0" w:right="0" w:firstLine="0"/>
        <w:jc w:val="left"/>
      </w:pPr>
      <w:r>
        <w:rPr>
          <w:rFonts w:ascii="Calibri" w:eastAsia="Calibri" w:hAnsi="Calibri" w:cs="Calibri"/>
        </w:rPr>
        <w:tab/>
      </w:r>
      <w:r>
        <w:t>2.3</w:t>
      </w:r>
      <w:r>
        <w:tab/>
        <w:t>The</w:t>
      </w:r>
      <w:r w:rsidR="006A1ABB">
        <w:t xml:space="preserve"> </w:t>
      </w:r>
      <w:r>
        <w:t>following matters are "relevant wrongdoings":</w:t>
      </w:r>
    </w:p>
    <w:p w14:paraId="334FFE09" w14:textId="57A316DF" w:rsidR="00C52B3D" w:rsidRDefault="00E2478A">
      <w:pPr>
        <w:numPr>
          <w:ilvl w:val="0"/>
          <w:numId w:val="1"/>
        </w:numPr>
        <w:ind w:right="41" w:hanging="360"/>
      </w:pPr>
      <w:r>
        <w:t xml:space="preserve">That an offence has been, is being or is likely to be </w:t>
      </w:r>
      <w:r w:rsidR="002D227D">
        <w:t>committed.</w:t>
      </w:r>
    </w:p>
    <w:p w14:paraId="1ED1779D" w14:textId="694D2961" w:rsidR="00C52B3D" w:rsidRDefault="00E2478A">
      <w:pPr>
        <w:numPr>
          <w:ilvl w:val="0"/>
          <w:numId w:val="1"/>
        </w:numPr>
        <w:spacing w:after="359"/>
        <w:ind w:right="41" w:hanging="360"/>
      </w:pPr>
      <w:r>
        <w:t xml:space="preserve">That a person has failed, is failing or is likely to fail to comply with any legal obligation, other than one arising under the worker's contract of employment or other contract whereby the worker undertakes to do or </w:t>
      </w:r>
      <w:r w:rsidR="002D227D">
        <w:t>personally perform</w:t>
      </w:r>
      <w:r>
        <w:t xml:space="preserve"> any work or </w:t>
      </w:r>
      <w:r w:rsidR="002D227D">
        <w:t>services.</w:t>
      </w:r>
    </w:p>
    <w:p w14:paraId="64E67B6E" w14:textId="427A82D3" w:rsidR="00C52B3D" w:rsidRDefault="00E2478A">
      <w:pPr>
        <w:numPr>
          <w:ilvl w:val="0"/>
          <w:numId w:val="1"/>
        </w:numPr>
        <w:ind w:right="41" w:hanging="360"/>
      </w:pPr>
      <w:r>
        <w:t xml:space="preserve">That a miscarriage of justice has occurred, is occurring or is likely to </w:t>
      </w:r>
      <w:r w:rsidR="002D227D">
        <w:t>occur.</w:t>
      </w:r>
    </w:p>
    <w:p w14:paraId="791A0A0B" w14:textId="3410D6AA" w:rsidR="00C52B3D" w:rsidRDefault="00E2478A">
      <w:pPr>
        <w:numPr>
          <w:ilvl w:val="0"/>
          <w:numId w:val="1"/>
        </w:numPr>
        <w:ind w:right="41" w:hanging="360"/>
      </w:pPr>
      <w:r>
        <w:t xml:space="preserve">That the health and safety of any individual has been, is being or is likely to be </w:t>
      </w:r>
      <w:r w:rsidR="002D227D">
        <w:t>endangered.</w:t>
      </w:r>
    </w:p>
    <w:p w14:paraId="77003517" w14:textId="213BF065" w:rsidR="00C52B3D" w:rsidRDefault="00E2478A">
      <w:pPr>
        <w:numPr>
          <w:ilvl w:val="0"/>
          <w:numId w:val="1"/>
        </w:numPr>
        <w:ind w:right="41" w:hanging="360"/>
      </w:pPr>
      <w:r>
        <w:t>That the environment has been, is being or is likely to be</w:t>
      </w:r>
      <w:r w:rsidR="00851B4B">
        <w:t xml:space="preserve"> </w:t>
      </w:r>
      <w:r w:rsidR="002D227D">
        <w:t>damaged.</w:t>
      </w:r>
    </w:p>
    <w:p w14:paraId="5E019F2D" w14:textId="00A6151B" w:rsidR="00C52B3D" w:rsidRDefault="00E2478A">
      <w:pPr>
        <w:numPr>
          <w:ilvl w:val="0"/>
          <w:numId w:val="1"/>
        </w:numPr>
        <w:ind w:right="41" w:hanging="360"/>
      </w:pPr>
      <w:r>
        <w:t xml:space="preserve">That an unlawful or otherwise improper use of funds or resources of a public body, or of other public money, has occurred, is occurring or is likely to </w:t>
      </w:r>
      <w:r w:rsidR="002D227D">
        <w:t>occur.</w:t>
      </w:r>
    </w:p>
    <w:p w14:paraId="7F4469DE" w14:textId="65CE16C8" w:rsidR="00C52B3D" w:rsidRPr="00F80B94" w:rsidRDefault="00E2478A">
      <w:pPr>
        <w:numPr>
          <w:ilvl w:val="0"/>
          <w:numId w:val="1"/>
        </w:numPr>
        <w:ind w:right="41" w:hanging="360"/>
        <w:rPr>
          <w:color w:val="auto"/>
        </w:rPr>
      </w:pPr>
      <w:r>
        <w:t xml:space="preserve">That an act or omission by or on behalf of a public body is oppressive, </w:t>
      </w:r>
      <w:r w:rsidR="002D227D">
        <w:t>discriminatory,</w:t>
      </w:r>
      <w:r>
        <w:t xml:space="preserve"> or grossly negligent or constitutes gross mismanage</w:t>
      </w:r>
      <w:r w:rsidRPr="00F80B94">
        <w:rPr>
          <w:color w:val="auto"/>
        </w:rPr>
        <w:t>ment</w:t>
      </w:r>
      <w:r w:rsidR="00FA5BCD">
        <w:rPr>
          <w:color w:val="auto"/>
        </w:rPr>
        <w:t xml:space="preserve">, </w:t>
      </w:r>
      <w:r w:rsidRPr="00F80B94">
        <w:rPr>
          <w:color w:val="auto"/>
          <w:u w:color="0000FF"/>
        </w:rPr>
        <w:t>or</w:t>
      </w:r>
    </w:p>
    <w:p w14:paraId="7E9E78C2" w14:textId="74C26214" w:rsidR="00C52B3D" w:rsidRPr="00750E44" w:rsidRDefault="00E2478A" w:rsidP="00750E44">
      <w:pPr>
        <w:numPr>
          <w:ilvl w:val="0"/>
          <w:numId w:val="1"/>
        </w:numPr>
        <w:spacing w:after="256" w:line="259" w:lineRule="auto"/>
        <w:ind w:right="41" w:hanging="360"/>
        <w:rPr>
          <w:color w:val="auto"/>
        </w:rPr>
      </w:pPr>
      <w:r w:rsidRPr="00F80B94">
        <w:rPr>
          <w:color w:val="auto"/>
          <w:u w:color="0000FF"/>
        </w:rPr>
        <w:t>That a breach has occurred, is occurring or is likely to occur</w:t>
      </w:r>
      <w:r w:rsidR="00750E44">
        <w:rPr>
          <w:color w:val="auto"/>
          <w:u w:color="0000FF"/>
        </w:rPr>
        <w:t>,</w:t>
      </w:r>
      <w:r w:rsidRPr="00F80B94">
        <w:rPr>
          <w:color w:val="auto"/>
          <w:u w:color="0000FF"/>
        </w:rPr>
        <w:t xml:space="preserve"> or</w:t>
      </w:r>
    </w:p>
    <w:p w14:paraId="208BA822" w14:textId="31023B01" w:rsidR="00C52B3D" w:rsidRPr="006C07E9" w:rsidRDefault="00E2478A">
      <w:pPr>
        <w:numPr>
          <w:ilvl w:val="0"/>
          <w:numId w:val="1"/>
        </w:numPr>
        <w:ind w:right="41" w:hanging="360"/>
      </w:pPr>
      <w:r>
        <w:t>That information tending to show any matter falling within any of the preceding paragraphs</w:t>
      </w:r>
      <w:r w:rsidR="00163D42">
        <w:t xml:space="preserve"> </w:t>
      </w:r>
      <w:r>
        <w:t>has been, is being or is likely to be concealed or destroyed</w:t>
      </w:r>
      <w:r w:rsidRPr="00163D42">
        <w:rPr>
          <w:color w:val="auto"/>
        </w:rPr>
        <w:t xml:space="preserve"> or an attempt has been, is being or is likely to be made to conceal or destroy such </w:t>
      </w:r>
      <w:r w:rsidR="00750E44" w:rsidRPr="00163D42">
        <w:rPr>
          <w:color w:val="auto"/>
        </w:rPr>
        <w:t>information</w:t>
      </w:r>
      <w:r w:rsidR="00750E44">
        <w:rPr>
          <w:color w:val="auto"/>
        </w:rPr>
        <w:t>.</w:t>
      </w:r>
    </w:p>
    <w:p w14:paraId="18FAD515" w14:textId="56E6E747" w:rsidR="00C52B3D" w:rsidRPr="00F80B94" w:rsidRDefault="00750E44" w:rsidP="00750E44">
      <w:pPr>
        <w:spacing w:after="485" w:line="243" w:lineRule="auto"/>
        <w:ind w:right="19"/>
        <w:rPr>
          <w:color w:val="auto"/>
        </w:rPr>
      </w:pPr>
      <w:r w:rsidRPr="00FA5BCD">
        <w:t>2.3.1</w:t>
      </w:r>
      <w:r>
        <w:t xml:space="preserve"> </w:t>
      </w:r>
      <w:r>
        <w:tab/>
      </w:r>
      <w:r w:rsidR="00E2478A" w:rsidRPr="00F80B94">
        <w:rPr>
          <w:color w:val="auto"/>
        </w:rPr>
        <w:t>It is important to note that the PDA clarifies that "</w:t>
      </w:r>
      <w:r w:rsidR="00E2478A" w:rsidRPr="00F80B94">
        <w:rPr>
          <w:i/>
          <w:color w:val="auto"/>
        </w:rPr>
        <w:t xml:space="preserve">a matter </w:t>
      </w:r>
      <w:r w:rsidR="00E2478A" w:rsidRPr="00F80B94">
        <w:rPr>
          <w:i/>
          <w:color w:val="auto"/>
          <w:u w:color="0000FF"/>
        </w:rPr>
        <w:t>concerning</w:t>
      </w:r>
      <w:r w:rsidR="00E2478A" w:rsidRPr="00F80B94">
        <w:rPr>
          <w:i/>
          <w:color w:val="auto"/>
        </w:rPr>
        <w:t xml:space="preserve"> interpersonal grievances exclusively affecting </w:t>
      </w:r>
      <w:r w:rsidR="00E2478A" w:rsidRPr="00F80B94">
        <w:rPr>
          <w:i/>
          <w:color w:val="auto"/>
          <w:u w:color="0000FF"/>
        </w:rPr>
        <w:t>a</w:t>
      </w:r>
      <w:r w:rsidR="00E2478A" w:rsidRPr="00F80B94">
        <w:rPr>
          <w:i/>
          <w:color w:val="auto"/>
        </w:rPr>
        <w:t xml:space="preserve"> reporting person,</w:t>
      </w:r>
      <w:r w:rsidR="002D227D">
        <w:rPr>
          <w:i/>
          <w:color w:val="auto"/>
        </w:rPr>
        <w:t xml:space="preserve"> </w:t>
      </w:r>
      <w:r w:rsidR="00E2478A" w:rsidRPr="00F80B94">
        <w:rPr>
          <w:i/>
          <w:color w:val="auto"/>
        </w:rPr>
        <w:t>namely</w:t>
      </w:r>
      <w:r w:rsidR="00E2478A" w:rsidRPr="00F80B94">
        <w:rPr>
          <w:i/>
          <w:color w:val="auto"/>
          <w:u w:color="0000FF"/>
        </w:rPr>
        <w:t>,</w:t>
      </w:r>
      <w:r w:rsidR="00E2478A" w:rsidRPr="00F80B94">
        <w:rPr>
          <w:i/>
          <w:color w:val="auto"/>
        </w:rPr>
        <w:t xml:space="preserve"> grievances about interpersonal conflicts between the reporting person and another worker</w:t>
      </w:r>
      <w:r w:rsidR="00E2478A" w:rsidRPr="00F80B94">
        <w:rPr>
          <w:i/>
          <w:color w:val="auto"/>
          <w:u w:color="0000FF"/>
        </w:rPr>
        <w:t xml:space="preserve">, or a matter concerning a complaint by a reporting person to, or about, his or her employer which concerns the worker exclusively, shall not be a relevant wrongdoing for the purposes of </w:t>
      </w:r>
      <w:r w:rsidR="00610BBF" w:rsidRPr="00F80B94">
        <w:rPr>
          <w:i/>
          <w:color w:val="auto"/>
          <w:u w:color="0000FF"/>
        </w:rPr>
        <w:t>the PDA</w:t>
      </w:r>
      <w:r w:rsidR="00E2478A" w:rsidRPr="00F80B94">
        <w:rPr>
          <w:i/>
          <w:color w:val="auto"/>
          <w:u w:color="0000FF"/>
        </w:rPr>
        <w:t xml:space="preserve"> and may be dealt with through any agreed procedures applicable to such grievances or complaint to which the reporting person has access or such</w:t>
      </w:r>
      <w:r w:rsidR="00E2478A" w:rsidRPr="00F80B94">
        <w:rPr>
          <w:i/>
          <w:color w:val="auto"/>
        </w:rPr>
        <w:t xml:space="preserve"> other procedures </w:t>
      </w:r>
      <w:r w:rsidR="00E2478A" w:rsidRPr="00F80B94">
        <w:rPr>
          <w:i/>
          <w:color w:val="auto"/>
          <w:u w:color="0000FF"/>
        </w:rPr>
        <w:t>provided in accordance with any rule of law or enactment (other than this Act) to which the reporting person has access</w:t>
      </w:r>
      <w:r w:rsidR="00E2478A" w:rsidRPr="00F80B94">
        <w:rPr>
          <w:color w:val="auto"/>
          <w:u w:color="0000FF"/>
        </w:rPr>
        <w:t>"</w:t>
      </w:r>
      <w:r w:rsidR="00E2478A" w:rsidRPr="00F80B94">
        <w:rPr>
          <w:color w:val="auto"/>
        </w:rPr>
        <w:t xml:space="preserve"> Therefore, such issues are best dealt with under the relevant HR/grievance policies.</w:t>
      </w:r>
    </w:p>
    <w:p w14:paraId="53EC456E" w14:textId="320123A5" w:rsidR="0043379D" w:rsidRPr="00FA5BCD" w:rsidRDefault="006C07E9" w:rsidP="0043379D">
      <w:pPr>
        <w:ind w:right="41"/>
      </w:pPr>
      <w:r w:rsidRPr="00FA5BCD">
        <w:t>2</w:t>
      </w:r>
      <w:r w:rsidR="00750E44" w:rsidRPr="00FA5BCD">
        <w:t>.3.2</w:t>
      </w:r>
      <w:r w:rsidR="00750E44" w:rsidRPr="00FA5BCD">
        <w:tab/>
      </w:r>
      <w:r w:rsidR="0043379D" w:rsidRPr="00FA5BCD">
        <w:t xml:space="preserve">No worker will be deprived of the protections set out herein or under the PDA, including protection from penalisation, if it transpires that a relevant wrongdoing did not occur, is not occuring or is not likely to occur, provided that (s)he had a reasonable belief, as set out herein. </w:t>
      </w:r>
    </w:p>
    <w:p w14:paraId="48980659" w14:textId="743EC395" w:rsidR="005045CD" w:rsidRPr="005045CD" w:rsidRDefault="006C07E9">
      <w:pPr>
        <w:ind w:right="41"/>
      </w:pPr>
      <w:r w:rsidRPr="00FA5BCD">
        <w:t>2.</w:t>
      </w:r>
      <w:r w:rsidR="00750E44" w:rsidRPr="00FA5BCD">
        <w:t>3.3</w:t>
      </w:r>
      <w:r w:rsidR="00750E44">
        <w:t xml:space="preserve">    </w:t>
      </w:r>
      <w:r w:rsidR="005045CD">
        <w:t>A matter will not be considered as a relevant wrongdoing if it is a matter which it is the function of the worker or by virtue of the worker’s employment to detect</w:t>
      </w:r>
      <w:r w:rsidR="00FF6ECF">
        <w:t xml:space="preserve"> and/or investigate wrongdoing and does not consist of or involve an act or omission on the part of </w:t>
      </w:r>
      <w:r w:rsidR="00ED2B94">
        <w:t>the Council</w:t>
      </w:r>
      <w:r w:rsidR="00FF6ECF">
        <w:t>.</w:t>
      </w:r>
    </w:p>
    <w:p w14:paraId="69CD43FE" w14:textId="41CC3582" w:rsidR="00C52B3D" w:rsidRPr="00F35A1B" w:rsidRDefault="00E2478A">
      <w:pPr>
        <w:ind w:right="41"/>
      </w:pPr>
      <w:r w:rsidRPr="00FA5BCD">
        <w:t>2.</w:t>
      </w:r>
      <w:r w:rsidR="00750E44" w:rsidRPr="00FA5BCD">
        <w:t>4</w:t>
      </w:r>
      <w:r w:rsidR="00750E44">
        <w:tab/>
      </w:r>
      <w:r>
        <w:t>The Council is committed to operating in an open and transparent manner and aims to be fully accountable in all its operations. The Council encourages workers to raise issues which concern them at work. It is accepted that workers may be worried that by reporting such issues they may expose themselves to some form of victimisation. If a worker makes a Protected Disclosure under this Policy, s/he will not suffer any form of retribution as a result even if s/he is mistaken.</w:t>
      </w:r>
      <w:r w:rsidR="00F35A1B">
        <w:t xml:space="preserve"> Additionally, the motivation of the worker for having made a protected disclosure will be deemed irrelevant as to </w:t>
      </w:r>
      <w:r w:rsidR="007F2ECC">
        <w:t>whether</w:t>
      </w:r>
      <w:r w:rsidR="00F35A1B">
        <w:t xml:space="preserve"> </w:t>
      </w:r>
      <w:r w:rsidR="007F2ECC">
        <w:t>the</w:t>
      </w:r>
      <w:r w:rsidR="00F35A1B">
        <w:t xml:space="preserve"> said disclosure constituted a protected disclosure.</w:t>
      </w:r>
    </w:p>
    <w:p w14:paraId="02B65E6A" w14:textId="6E06C9F7" w:rsidR="00C52B3D" w:rsidRPr="00324694" w:rsidRDefault="00E2478A">
      <w:pPr>
        <w:ind w:right="41"/>
      </w:pPr>
      <w:r w:rsidRPr="00FA5BCD">
        <w:t>2.</w:t>
      </w:r>
      <w:r w:rsidR="00FA5BCD" w:rsidRPr="00FA5BCD">
        <w:t>4</w:t>
      </w:r>
      <w:r w:rsidRPr="00FA5BCD">
        <w:t>.1</w:t>
      </w:r>
      <w:r w:rsidR="00750E44">
        <w:tab/>
      </w:r>
      <w:r>
        <w:t>Workers are encouraged to report any relevant wrongdoing of which they become aware at an early stage, so that the Council can conduct its enquiries and can take any necessary corrective actions.</w:t>
      </w:r>
      <w:r w:rsidR="00324694">
        <w:t xml:space="preserve"> Workers are not required or entitled to </w:t>
      </w:r>
      <w:r w:rsidR="007F2ECC">
        <w:t>investigate</w:t>
      </w:r>
      <w:r w:rsidR="00750E44">
        <w:t xml:space="preserve"> </w:t>
      </w:r>
      <w:r w:rsidR="00324694">
        <w:t>/</w:t>
      </w:r>
      <w:r w:rsidR="00750E44">
        <w:t xml:space="preserve"> </w:t>
      </w:r>
      <w:r w:rsidR="00324694">
        <w:t xml:space="preserve">enquiry to attempt to obtain proof that a relevant wrongdoing has occurred, is occuring or is likely to occur. Workers who have formed a reasonable belief of wrongdoing should solely disclose information which tends to show such wrongdoing, in accordance with this procedure. </w:t>
      </w:r>
      <w:r w:rsidR="00C035AE">
        <w:t xml:space="preserve">As set out below, </w:t>
      </w:r>
      <w:r w:rsidR="00651A36">
        <w:t xml:space="preserve">by doing so, a worker may become subject to disciplinary (or appropriate) action. </w:t>
      </w:r>
    </w:p>
    <w:p w14:paraId="5E2C91E9" w14:textId="38EE86D7" w:rsidR="0086200B" w:rsidRDefault="00FA5BCD">
      <w:pPr>
        <w:spacing w:after="505"/>
        <w:ind w:right="41"/>
      </w:pPr>
      <w:r>
        <w:t>2.5</w:t>
      </w:r>
      <w:r w:rsidR="00E2478A">
        <w:t xml:space="preserve"> </w:t>
      </w:r>
      <w:r w:rsidR="00B92F93">
        <w:tab/>
        <w:t xml:space="preserve">The within policy is intended to deal with disclosures of relevant wrongdoings. This normally involves wrongdoings, as opposed to personal complaints. </w:t>
      </w:r>
      <w:r w:rsidR="00E2478A">
        <w:t xml:space="preserve">If a worker has a complaint arising under a worker's contract of employment or other contract whereby the worker undertakes to do or </w:t>
      </w:r>
      <w:r w:rsidR="007F2ECC">
        <w:t>personally perform</w:t>
      </w:r>
      <w:r w:rsidR="00E2478A">
        <w:t xml:space="preserve"> any work or services, then the normal Grievance Procedure</w:t>
      </w:r>
      <w:r w:rsidR="00B92F93">
        <w:t xml:space="preserve"> and/or the Dignity in the Workplace policy</w:t>
      </w:r>
      <w:r w:rsidR="00E2478A">
        <w:t xml:space="preserve"> should be used. It is important that this Policy is not confused with the Grievance Procedure</w:t>
      </w:r>
      <w:r w:rsidR="00B92F93">
        <w:t xml:space="preserve"> and/or the Dignity in the Workplace policy</w:t>
      </w:r>
      <w:r w:rsidR="00E2478A">
        <w:t xml:space="preserve">. </w:t>
      </w:r>
    </w:p>
    <w:p w14:paraId="5E2AB911" w14:textId="71FAD0B2" w:rsidR="0086200B" w:rsidRPr="0086200B" w:rsidRDefault="00FA5BCD" w:rsidP="00FA5BCD">
      <w:pPr>
        <w:spacing w:after="505"/>
        <w:ind w:right="41"/>
      </w:pPr>
      <w:r>
        <w:t xml:space="preserve">2.6     </w:t>
      </w:r>
      <w:r w:rsidR="007F2ECC">
        <w:t xml:space="preserve"> </w:t>
      </w:r>
      <w:r w:rsidR="0086200B">
        <w:t>A matter concerning interpersonal grievances exclusively affecting a worker (such as grievances about interpersonal conflicts between workers, or a matter concerning a complaint by a worker about their manager which concerns the worker exclusively) is not considered a relevant wrongdoing and is more appropriately dealt with pursuant to the grievance procedure</w:t>
      </w:r>
      <w:r w:rsidR="00B92F93">
        <w:t xml:space="preserve"> and/ or the Dignity in the Workplace policy.</w:t>
      </w:r>
    </w:p>
    <w:p w14:paraId="2950B4A4" w14:textId="73E07EE1" w:rsidR="00C52B3D" w:rsidRDefault="00FA5BCD" w:rsidP="00FA5BCD">
      <w:pPr>
        <w:spacing w:after="505"/>
        <w:ind w:right="41"/>
      </w:pPr>
      <w:r>
        <w:t>2.7</w:t>
      </w:r>
      <w:r>
        <w:tab/>
      </w:r>
      <w:r w:rsidR="00E2478A">
        <w:t>If you are uncertain whether a concern is a Protected Disclosure within the scope of this policy you should seek guidance from the 1</w:t>
      </w:r>
      <w:r w:rsidR="00E2478A">
        <w:rPr>
          <w:vertAlign w:val="superscript"/>
        </w:rPr>
        <w:t xml:space="preserve">st </w:t>
      </w:r>
      <w:r w:rsidR="00E2478A">
        <w:t>Protected Disclosures Officer who shall act as a point of contact for any worker who requires further information on the operation of this policy.</w:t>
      </w:r>
    </w:p>
    <w:p w14:paraId="182ED0E6" w14:textId="2284414B" w:rsidR="00C52B3D" w:rsidRDefault="00E2478A">
      <w:pPr>
        <w:pStyle w:val="Heading2"/>
        <w:tabs>
          <w:tab w:val="center" w:pos="1103"/>
          <w:tab w:val="center" w:pos="2087"/>
        </w:tabs>
        <w:ind w:left="0" w:firstLine="0"/>
      </w:pPr>
      <w:r>
        <w:rPr>
          <w:rFonts w:ascii="Calibri" w:eastAsia="Calibri" w:hAnsi="Calibri" w:cs="Calibri"/>
          <w:b w:val="0"/>
        </w:rPr>
        <w:tab/>
      </w:r>
      <w:r>
        <w:t>3</w:t>
      </w:r>
      <w:r w:rsidR="00683A9B">
        <w:t>.</w:t>
      </w:r>
      <w:r>
        <w:tab/>
        <w:t>Policy</w:t>
      </w:r>
    </w:p>
    <w:p w14:paraId="5710BF73" w14:textId="3DFDD0B5" w:rsidR="00C52B3D" w:rsidRDefault="00E2478A" w:rsidP="00556FD2">
      <w:pPr>
        <w:ind w:right="41"/>
      </w:pPr>
      <w:r>
        <w:t>3.1</w:t>
      </w:r>
      <w:r w:rsidR="00750E44">
        <w:tab/>
      </w:r>
      <w:r>
        <w:t xml:space="preserve">The Council is committed to the effective implementation of this Policy. If a worker uses this Policy to raise a concern, the Council gives its assurance that s/he will not be subject to disciplinary or other detrimental action, even if the information is subsequently found to be </w:t>
      </w:r>
      <w:proofErr w:type="gramStart"/>
      <w:r>
        <w:t xml:space="preserve">incorrect, </w:t>
      </w:r>
      <w:r w:rsidR="007F2ECC">
        <w:t>if</w:t>
      </w:r>
      <w:proofErr w:type="gramEnd"/>
      <w:r>
        <w:t xml:space="preserve"> it was based on a reasonable belief. Council would consider abuse of this policy to</w:t>
      </w:r>
      <w:r w:rsidR="00556FD2">
        <w:t xml:space="preserve"> </w:t>
      </w:r>
      <w:r>
        <w:t>be a serious disciplinary matter and appropriate action may be taken against any person who is found to have deliberately made a false disclosure.</w:t>
      </w:r>
    </w:p>
    <w:p w14:paraId="388D8BF3" w14:textId="273DF727" w:rsidR="00C52B3D" w:rsidRDefault="00E2478A" w:rsidP="00750E44">
      <w:pPr>
        <w:spacing w:after="0"/>
        <w:ind w:right="41"/>
      </w:pPr>
      <w:r>
        <w:t>3.2</w:t>
      </w:r>
      <w:r w:rsidR="00750E44">
        <w:tab/>
      </w:r>
      <w:r>
        <w:t xml:space="preserve">If it is found that a worker is subject to retribution, </w:t>
      </w:r>
      <w:r w:rsidR="007F2ECC">
        <w:t>victimisation,</w:t>
      </w:r>
      <w:r>
        <w:t xml:space="preserve"> or detriment because of making a Protected Disclosure, </w:t>
      </w:r>
      <w:r w:rsidR="00054A85">
        <w:t xml:space="preserve">the disciplinary process will be engaged in relation to any retribution, </w:t>
      </w:r>
      <w:r w:rsidR="007F2ECC">
        <w:t>victimisation,</w:t>
      </w:r>
      <w:r w:rsidR="00054A85">
        <w:t xml:space="preserve"> or detriment </w:t>
      </w:r>
      <w:proofErr w:type="gramStart"/>
      <w:r w:rsidR="00054A85">
        <w:t>as a result of</w:t>
      </w:r>
      <w:proofErr w:type="gramEnd"/>
      <w:r w:rsidR="00054A85">
        <w:t xml:space="preserve"> the reporting person having made a protected disclosure</w:t>
      </w:r>
      <w:r>
        <w:t>.</w:t>
      </w:r>
    </w:p>
    <w:p w14:paraId="293EB5B5" w14:textId="59342953" w:rsidR="00C52B3D" w:rsidRDefault="00C52B3D" w:rsidP="00163D42">
      <w:pPr>
        <w:spacing w:after="5" w:line="249" w:lineRule="auto"/>
        <w:ind w:left="0" w:right="0" w:firstLine="0"/>
        <w:jc w:val="left"/>
      </w:pPr>
    </w:p>
    <w:p w14:paraId="65CD9EB8" w14:textId="0980AB68" w:rsidR="00C52B3D" w:rsidRDefault="00E2478A" w:rsidP="00750E44">
      <w:pPr>
        <w:tabs>
          <w:tab w:val="center" w:pos="1313"/>
          <w:tab w:val="center" w:pos="3474"/>
        </w:tabs>
        <w:spacing w:after="7"/>
        <w:ind w:left="0" w:right="0" w:firstLine="0"/>
        <w:jc w:val="left"/>
      </w:pPr>
      <w:r>
        <w:rPr>
          <w:rFonts w:ascii="Calibri" w:eastAsia="Calibri" w:hAnsi="Calibri" w:cs="Calibri"/>
        </w:rPr>
        <w:tab/>
      </w:r>
      <w:r w:rsidR="00163D42" w:rsidRPr="00163D42">
        <w:rPr>
          <w:rFonts w:ascii="Calibri" w:eastAsia="Calibri" w:hAnsi="Calibri" w:cs="Calibri"/>
          <w:color w:val="auto"/>
        </w:rPr>
        <w:t xml:space="preserve">                     </w:t>
      </w:r>
      <w:r w:rsidRPr="00163D42">
        <w:rPr>
          <w:color w:val="auto"/>
        </w:rPr>
        <w:t>3.3</w:t>
      </w:r>
      <w:r w:rsidR="00163D42" w:rsidRPr="00163D42">
        <w:rPr>
          <w:color w:val="auto"/>
        </w:rPr>
        <w:t xml:space="preserve">  </w:t>
      </w:r>
      <w:r w:rsidR="00750E44">
        <w:rPr>
          <w:color w:val="auto"/>
        </w:rPr>
        <w:t xml:space="preserve">   </w:t>
      </w:r>
      <w:r>
        <w:t>In addition, any person who:</w:t>
      </w:r>
    </w:p>
    <w:p w14:paraId="1C4EDB01" w14:textId="2BC0639D" w:rsidR="00C52B3D" w:rsidRDefault="00C52B3D">
      <w:pPr>
        <w:spacing w:after="250" w:line="259" w:lineRule="auto"/>
        <w:ind w:left="1157" w:right="0" w:firstLine="0"/>
        <w:jc w:val="left"/>
      </w:pPr>
    </w:p>
    <w:p w14:paraId="183466E5" w14:textId="0A12D348" w:rsidR="00C52B3D" w:rsidRDefault="00E2478A">
      <w:pPr>
        <w:numPr>
          <w:ilvl w:val="0"/>
          <w:numId w:val="3"/>
        </w:numPr>
        <w:ind w:right="41" w:hanging="360"/>
      </w:pPr>
      <w:r>
        <w:t xml:space="preserve">hinders or attempts to hinder a worker in making a protected </w:t>
      </w:r>
      <w:r w:rsidR="007F2ECC">
        <w:t>disclosure.</w:t>
      </w:r>
    </w:p>
    <w:p w14:paraId="2D5C1524" w14:textId="6C52977C" w:rsidR="00C52B3D" w:rsidRPr="00163D42" w:rsidRDefault="00E2478A">
      <w:pPr>
        <w:numPr>
          <w:ilvl w:val="0"/>
          <w:numId w:val="3"/>
        </w:numPr>
        <w:spacing w:after="5"/>
        <w:ind w:right="41" w:hanging="360"/>
      </w:pPr>
      <w:r>
        <w:t xml:space="preserve">penalises or threatens penalisation or causes or permits any other person to penalise or threaten penalisation </w:t>
      </w:r>
      <w:r w:rsidR="007F2ECC">
        <w:t>against.</w:t>
      </w:r>
      <w:r w:rsidR="00FA5BCD">
        <w:rPr>
          <w:color w:val="0000FF"/>
          <w:u w:val="double" w:color="0000FF"/>
        </w:rPr>
        <w:t xml:space="preserve"> </w:t>
      </w:r>
    </w:p>
    <w:p w14:paraId="270FA5F9" w14:textId="77777777" w:rsidR="00163D42" w:rsidRPr="00163D42" w:rsidRDefault="00163D42" w:rsidP="00163D42">
      <w:pPr>
        <w:spacing w:after="5"/>
        <w:ind w:left="3053" w:right="41" w:firstLine="0"/>
        <w:rPr>
          <w:color w:val="auto"/>
        </w:rPr>
      </w:pPr>
    </w:p>
    <w:p w14:paraId="40A3D787" w14:textId="5118C600" w:rsidR="00C52B3D" w:rsidRPr="00163D42" w:rsidRDefault="00E2478A">
      <w:pPr>
        <w:numPr>
          <w:ilvl w:val="3"/>
          <w:numId w:val="4"/>
        </w:numPr>
        <w:spacing w:after="4" w:line="259" w:lineRule="auto"/>
        <w:ind w:right="8" w:hanging="360"/>
        <w:rPr>
          <w:color w:val="auto"/>
        </w:rPr>
      </w:pPr>
      <w:r w:rsidRPr="00163D42">
        <w:rPr>
          <w:color w:val="auto"/>
          <w:u w:color="0000FF"/>
        </w:rPr>
        <w:t xml:space="preserve">a reporting </w:t>
      </w:r>
      <w:r w:rsidR="007F2ECC" w:rsidRPr="00163D42">
        <w:rPr>
          <w:color w:val="auto"/>
          <w:u w:color="0000FF"/>
        </w:rPr>
        <w:t>person.</w:t>
      </w:r>
    </w:p>
    <w:p w14:paraId="68901A86" w14:textId="0ADCD02F" w:rsidR="00C52B3D" w:rsidRPr="00163D42" w:rsidRDefault="00E2478A">
      <w:pPr>
        <w:numPr>
          <w:ilvl w:val="3"/>
          <w:numId w:val="4"/>
        </w:numPr>
        <w:spacing w:after="5" w:line="249" w:lineRule="auto"/>
        <w:ind w:right="8" w:hanging="360"/>
        <w:rPr>
          <w:color w:val="auto"/>
        </w:rPr>
      </w:pPr>
      <w:r w:rsidRPr="00163D42">
        <w:rPr>
          <w:color w:val="auto"/>
          <w:u w:color="0000FF"/>
        </w:rPr>
        <w:t xml:space="preserve">a </w:t>
      </w:r>
      <w:r w:rsidR="007F2ECC" w:rsidRPr="00163D42">
        <w:rPr>
          <w:color w:val="auto"/>
          <w:u w:color="0000FF"/>
        </w:rPr>
        <w:t>facilitator.</w:t>
      </w:r>
    </w:p>
    <w:p w14:paraId="7B5687A1" w14:textId="4D06E36D" w:rsidR="00C52B3D" w:rsidRPr="00163D42" w:rsidRDefault="00E2478A">
      <w:pPr>
        <w:numPr>
          <w:ilvl w:val="3"/>
          <w:numId w:val="4"/>
        </w:numPr>
        <w:spacing w:after="5" w:line="249" w:lineRule="auto"/>
        <w:ind w:right="8" w:hanging="360"/>
        <w:rPr>
          <w:color w:val="auto"/>
        </w:rPr>
      </w:pPr>
      <w:r w:rsidRPr="00163D42">
        <w:rPr>
          <w:color w:val="auto"/>
          <w:u w:color="0000FF"/>
        </w:rPr>
        <w:t xml:space="preserve">any third person who </w:t>
      </w:r>
      <w:r w:rsidR="007F2ECC" w:rsidRPr="00163D42">
        <w:rPr>
          <w:color w:val="auto"/>
          <w:u w:color="0000FF"/>
        </w:rPr>
        <w:t>relates to</w:t>
      </w:r>
      <w:r w:rsidRPr="00163D42">
        <w:rPr>
          <w:color w:val="auto"/>
          <w:u w:color="0000FF"/>
        </w:rPr>
        <w:t xml:space="preserve"> a reporting person and who could suffer retaliation in a work-related context, including as a colleague or relative of the reporting </w:t>
      </w:r>
      <w:r w:rsidR="007F2ECC" w:rsidRPr="00163D42">
        <w:rPr>
          <w:color w:val="auto"/>
          <w:u w:color="0000FF"/>
        </w:rPr>
        <w:t>person.</w:t>
      </w:r>
    </w:p>
    <w:p w14:paraId="419E1C7B" w14:textId="1E8CDF37" w:rsidR="00C52B3D" w:rsidRPr="00163D42" w:rsidRDefault="00E2478A">
      <w:pPr>
        <w:numPr>
          <w:ilvl w:val="3"/>
          <w:numId w:val="4"/>
        </w:numPr>
        <w:spacing w:after="5" w:line="249" w:lineRule="auto"/>
        <w:ind w:right="8" w:hanging="360"/>
        <w:rPr>
          <w:color w:val="auto"/>
        </w:rPr>
      </w:pPr>
      <w:r w:rsidRPr="00163D42">
        <w:rPr>
          <w:color w:val="auto"/>
          <w:u w:color="0000FF"/>
        </w:rPr>
        <w:t xml:space="preserve">or any legal entity that a reporting person owns, works </w:t>
      </w:r>
      <w:r w:rsidR="007F2ECC" w:rsidRPr="00163D42">
        <w:rPr>
          <w:color w:val="auto"/>
          <w:u w:color="0000FF"/>
        </w:rPr>
        <w:t>for,</w:t>
      </w:r>
      <w:r w:rsidRPr="00163D42">
        <w:rPr>
          <w:color w:val="auto"/>
          <w:u w:color="0000FF"/>
        </w:rPr>
        <w:t xml:space="preserve"> or is otherwise connected with in a work-related </w:t>
      </w:r>
      <w:r w:rsidR="007F2ECC" w:rsidRPr="00163D42">
        <w:rPr>
          <w:color w:val="auto"/>
          <w:u w:color="0000FF"/>
        </w:rPr>
        <w:t>context.</w:t>
      </w:r>
      <w:r w:rsidR="00222F1A">
        <w:rPr>
          <w:color w:val="auto"/>
          <w:u w:color="0000FF"/>
        </w:rPr>
        <w:t xml:space="preserve"> </w:t>
      </w:r>
    </w:p>
    <w:p w14:paraId="7379B2DA" w14:textId="77777777" w:rsidR="00163D42" w:rsidRPr="00163D42" w:rsidRDefault="00163D42" w:rsidP="00163D42">
      <w:pPr>
        <w:spacing w:after="5" w:line="249" w:lineRule="auto"/>
        <w:ind w:left="3758" w:right="8" w:firstLine="0"/>
        <w:rPr>
          <w:color w:val="auto"/>
        </w:rPr>
      </w:pPr>
    </w:p>
    <w:p w14:paraId="69B77139" w14:textId="09397DD0" w:rsidR="00C52B3D" w:rsidRDefault="00163D42" w:rsidP="00163D42">
      <w:pPr>
        <w:spacing w:after="253" w:line="259" w:lineRule="auto"/>
        <w:ind w:left="795" w:right="0" w:hanging="10"/>
      </w:pPr>
      <w:r w:rsidRPr="00163D42">
        <w:rPr>
          <w:color w:val="FF0000"/>
        </w:rPr>
        <w:t xml:space="preserve">                                     </w:t>
      </w:r>
      <w:r w:rsidR="00E2478A">
        <w:t xml:space="preserve">for having made a protected </w:t>
      </w:r>
      <w:proofErr w:type="gramStart"/>
      <w:r w:rsidR="00E2478A">
        <w:t>disclosure;</w:t>
      </w:r>
      <w:proofErr w:type="gramEnd"/>
    </w:p>
    <w:p w14:paraId="3D7F900B" w14:textId="497AA905" w:rsidR="00C52B3D" w:rsidRDefault="00E2478A">
      <w:pPr>
        <w:numPr>
          <w:ilvl w:val="0"/>
          <w:numId w:val="3"/>
        </w:numPr>
        <w:ind w:right="41" w:hanging="360"/>
      </w:pPr>
      <w:r>
        <w:t>bring vexatious proceedings against a worker for having made a protected disclosure or a facilitator for assisting a worker in making a protected disclosure; or</w:t>
      </w:r>
    </w:p>
    <w:p w14:paraId="61C5C4E5" w14:textId="358816BA" w:rsidR="00C52B3D" w:rsidRDefault="00E2478A">
      <w:pPr>
        <w:numPr>
          <w:ilvl w:val="0"/>
          <w:numId w:val="3"/>
        </w:numPr>
        <w:spacing w:after="253" w:line="259" w:lineRule="auto"/>
        <w:ind w:right="41" w:hanging="360"/>
      </w:pPr>
      <w:r>
        <w:t xml:space="preserve">breaches the duty of </w:t>
      </w:r>
      <w:r w:rsidR="007F2ECC">
        <w:t>confidentiality.</w:t>
      </w:r>
    </w:p>
    <w:p w14:paraId="7B1F694B" w14:textId="778851E7" w:rsidR="00C52B3D" w:rsidRDefault="00E2478A" w:rsidP="00334ABC">
      <w:pPr>
        <w:spacing w:after="249" w:line="249" w:lineRule="auto"/>
        <w:ind w:left="1879" w:right="2892" w:hanging="10"/>
        <w:jc w:val="left"/>
        <w:rPr>
          <w:color w:val="auto"/>
          <w:u w:color="0000FF"/>
        </w:rPr>
      </w:pPr>
      <w:r w:rsidRPr="00163D42">
        <w:rPr>
          <w:color w:val="auto"/>
          <w:u w:color="0000FF"/>
        </w:rPr>
        <w:t>commits an offence</w:t>
      </w:r>
      <w:r w:rsidR="00163D42">
        <w:rPr>
          <w:color w:val="auto"/>
          <w:u w:color="0000FF"/>
        </w:rPr>
        <w:t xml:space="preserve">. </w:t>
      </w:r>
    </w:p>
    <w:p w14:paraId="7F1755DB" w14:textId="6DA61220" w:rsidR="00C52B3D" w:rsidRDefault="00667947" w:rsidP="00667947">
      <w:pPr>
        <w:spacing w:after="289"/>
        <w:ind w:left="1435" w:right="20" w:hanging="715"/>
      </w:pPr>
      <w:r>
        <w:t>3.4</w:t>
      </w:r>
      <w:r>
        <w:tab/>
      </w:r>
      <w:r w:rsidR="00E2478A">
        <w:t xml:space="preserve">Any worker who believes that they have been penalised </w:t>
      </w:r>
      <w:r w:rsidR="00E84B8B">
        <w:t>and suffered a detriment</w:t>
      </w:r>
      <w:r w:rsidR="00E2478A">
        <w:t xml:space="preserve"> </w:t>
      </w:r>
      <w:r w:rsidR="007F2ECC">
        <w:t>because of</w:t>
      </w:r>
      <w:r w:rsidR="00E2478A">
        <w:t xml:space="preserve"> the making of a Protected Disclosure, either by that worker or by a third person, should inform the Protected Disclosures Officer immediately. </w:t>
      </w:r>
    </w:p>
    <w:p w14:paraId="53B04AFC" w14:textId="14525DF0" w:rsidR="005834C6" w:rsidRDefault="00667947" w:rsidP="00667947">
      <w:pPr>
        <w:spacing w:after="484" w:line="247" w:lineRule="auto"/>
        <w:ind w:left="1435" w:right="20" w:hanging="705"/>
        <w:jc w:val="left"/>
      </w:pPr>
      <w:r>
        <w:t>3.5</w:t>
      </w:r>
      <w:r>
        <w:tab/>
      </w:r>
      <w:r w:rsidR="00E2478A" w:rsidRPr="00750E44">
        <w:t>The Council will treat concerns raised seriously and act in accordance with</w:t>
      </w:r>
      <w:r w:rsidR="00750E44" w:rsidRPr="00750E44">
        <w:t xml:space="preserve"> </w:t>
      </w:r>
      <w:r w:rsidR="00E2478A" w:rsidRPr="00750E44">
        <w:t xml:space="preserve">this </w:t>
      </w:r>
      <w:r w:rsidR="00FA5BCD" w:rsidRPr="00750E44">
        <w:t>Policy.</w:t>
      </w:r>
    </w:p>
    <w:p w14:paraId="377A227B" w14:textId="1DECDA6D" w:rsidR="00C52B3D" w:rsidRDefault="00E2478A" w:rsidP="00667947">
      <w:pPr>
        <w:pStyle w:val="Heading2"/>
        <w:ind w:left="730"/>
      </w:pPr>
      <w:r>
        <w:t>4</w:t>
      </w:r>
      <w:r w:rsidR="00683A9B">
        <w:t>.</w:t>
      </w:r>
      <w:r>
        <w:tab/>
        <w:t>How to raise a concern internally</w:t>
      </w:r>
    </w:p>
    <w:p w14:paraId="6389A78A" w14:textId="5BCB06C7" w:rsidR="00C52B3D" w:rsidRDefault="00E2478A" w:rsidP="005834C6">
      <w:pPr>
        <w:spacing w:after="0" w:line="252" w:lineRule="auto"/>
        <w:ind w:left="1450" w:right="41" w:hanging="720"/>
      </w:pPr>
      <w:r>
        <w:t xml:space="preserve">4.1 </w:t>
      </w:r>
      <w:r w:rsidR="00750E44">
        <w:tab/>
      </w:r>
      <w:r>
        <w:t>A worker who believes that there is a relevant wrongdoing may report this initially to either his/her head of department, the 1</w:t>
      </w:r>
      <w:r>
        <w:rPr>
          <w:vertAlign w:val="superscript"/>
        </w:rPr>
        <w:t>st</w:t>
      </w:r>
      <w:r>
        <w:t xml:space="preserve"> Protected Disclosures Officer or the 2</w:t>
      </w:r>
      <w:r>
        <w:rPr>
          <w:vertAlign w:val="superscript"/>
        </w:rPr>
        <w:t>nd</w:t>
      </w:r>
      <w:r>
        <w:t xml:space="preserve"> Protected Disclosures Officer, as appropriate. Matters will be dealt with as confidentially as possible </w:t>
      </w:r>
      <w:proofErr w:type="gramStart"/>
      <w:r>
        <w:t>where</w:t>
      </w:r>
      <w:proofErr w:type="gramEnd"/>
      <w:r>
        <w:t xml:space="preserve"> requested but in the case of an investigation absolute confidentiality cannot be assured.</w:t>
      </w:r>
    </w:p>
    <w:p w14:paraId="3E4CDC90" w14:textId="77777777" w:rsidR="00C52B3D" w:rsidRDefault="00C52B3D" w:rsidP="00750E44">
      <w:pPr>
        <w:spacing w:after="0" w:line="252" w:lineRule="auto"/>
        <w:ind w:left="0" w:firstLine="0"/>
      </w:pPr>
    </w:p>
    <w:p w14:paraId="4E5B87D4" w14:textId="36EA8C77" w:rsidR="005834C6" w:rsidRDefault="00750E44" w:rsidP="00014A24">
      <w:pPr>
        <w:ind w:left="1450" w:right="0" w:hanging="720"/>
      </w:pPr>
      <w:r>
        <w:t>4.2</w:t>
      </w:r>
      <w:r w:rsidR="005834C6">
        <w:tab/>
      </w:r>
      <w:r w:rsidRPr="00750E44">
        <w:t xml:space="preserve">Before making a disclosure under this policy, a worker should not attempt                   </w:t>
      </w:r>
      <w:r>
        <w:t xml:space="preserve">                </w:t>
      </w:r>
      <w:r w:rsidRPr="00750E44">
        <w:t xml:space="preserve">to carry out their own investigations into the relevant wrongdoing. </w:t>
      </w:r>
      <w:r>
        <w:t xml:space="preserve">                                                                              </w:t>
      </w:r>
      <w:r w:rsidRPr="00750E44">
        <w:t>By doing so, to carry out their own investigations into the relevant wrongdoing.</w:t>
      </w:r>
      <w:r w:rsidR="005834C6">
        <w:t xml:space="preserve"> </w:t>
      </w:r>
    </w:p>
    <w:p w14:paraId="371D95E4" w14:textId="77777777" w:rsidR="005834C6" w:rsidRDefault="005834C6" w:rsidP="00014A24">
      <w:pPr>
        <w:ind w:left="1438" w:right="0" w:hanging="735"/>
      </w:pPr>
      <w:r>
        <w:t>4.3</w:t>
      </w:r>
      <w:r>
        <w:tab/>
        <w:t>If the person who raised the concern feels compromised or unable to discuss the matter with his/her head of department, for whatever reason, the matter should be raised with the Head of Legal Affairs (1</w:t>
      </w:r>
      <w:r>
        <w:rPr>
          <w:vertAlign w:val="superscript"/>
        </w:rPr>
        <w:t xml:space="preserve">st </w:t>
      </w:r>
      <w:r>
        <w:t>Protected Disclosures Officer) or, if this is not appropriate, with another head of department and should confirm that s/he is making a Protected Disclosure under this policy. If the worker still has concerns or feels that the matter is so serious that s/he cannot discuss it with either of the above, the matter should be raised with the Chairperson of the Council (2</w:t>
      </w:r>
      <w:r>
        <w:rPr>
          <w:vertAlign w:val="superscript"/>
        </w:rPr>
        <w:t xml:space="preserve">nd </w:t>
      </w:r>
      <w:r>
        <w:t>Protected Disclosures officer).</w:t>
      </w:r>
      <w:r w:rsidRPr="005834C6">
        <w:t xml:space="preserve"> </w:t>
      </w:r>
    </w:p>
    <w:p w14:paraId="02600ECB" w14:textId="042CA0EC" w:rsidR="005834C6" w:rsidRDefault="005834C6" w:rsidP="00014A24">
      <w:pPr>
        <w:ind w:left="1438" w:right="0" w:hanging="735"/>
      </w:pPr>
      <w:r>
        <w:t>4.4</w:t>
      </w:r>
      <w:r>
        <w:tab/>
        <w:t>The person to whom a protected disclosure is made (in accordance with this policy) will not disclose to another person any information that might identify the reporting person, save where:</w:t>
      </w:r>
    </w:p>
    <w:p w14:paraId="3A242736" w14:textId="7EB797B8" w:rsidR="005834C6" w:rsidRDefault="005834C6" w:rsidP="00014A24">
      <w:pPr>
        <w:ind w:left="1440" w:right="0" w:firstLine="0"/>
      </w:pPr>
      <w:r>
        <w:t>(</w:t>
      </w:r>
      <w:proofErr w:type="spellStart"/>
      <w:r>
        <w:t>i</w:t>
      </w:r>
      <w:proofErr w:type="spellEnd"/>
      <w:r>
        <w:t xml:space="preserve">.) the person to whom a protected disclosure is made took all reasonable steps    to avoid so disclosing any such </w:t>
      </w:r>
      <w:r w:rsidR="007F2ECC">
        <w:t>information.</w:t>
      </w:r>
    </w:p>
    <w:p w14:paraId="18011591" w14:textId="31276C86" w:rsidR="005834C6" w:rsidRDefault="005834C6" w:rsidP="00014A24">
      <w:pPr>
        <w:ind w:left="1440" w:right="0" w:firstLine="0"/>
      </w:pPr>
      <w:r>
        <w:t>(</w:t>
      </w:r>
      <w:proofErr w:type="gramStart"/>
      <w:r>
        <w:t>ii</w:t>
      </w:r>
      <w:proofErr w:type="gramEnd"/>
      <w:r>
        <w:t>.) the person to whom a protected disclosure is made believes that the reporting person does not object to the disclosure of any such information</w:t>
      </w:r>
    </w:p>
    <w:p w14:paraId="7CA52913" w14:textId="385FB4CC" w:rsidR="005834C6" w:rsidRDefault="005834C6" w:rsidP="00014A24">
      <w:pPr>
        <w:ind w:left="1440" w:right="0" w:firstLine="0"/>
      </w:pPr>
      <w:r>
        <w:t>(</w:t>
      </w:r>
      <w:proofErr w:type="gramStart"/>
      <w:r>
        <w:t>iii</w:t>
      </w:r>
      <w:proofErr w:type="gramEnd"/>
      <w:r>
        <w:t xml:space="preserve">.) the person to whom a protected disclosure is made believes that disclosing any such information is necessary </w:t>
      </w:r>
      <w:r w:rsidR="007F2ECC">
        <w:t>for: -</w:t>
      </w:r>
    </w:p>
    <w:p w14:paraId="6725B017" w14:textId="39DAABC1" w:rsidR="005834C6" w:rsidRPr="00C9231E" w:rsidRDefault="005834C6" w:rsidP="005834C6">
      <w:pPr>
        <w:pStyle w:val="ListParagraph"/>
        <w:numPr>
          <w:ilvl w:val="0"/>
          <w:numId w:val="6"/>
        </w:numPr>
        <w:ind w:right="357"/>
      </w:pPr>
      <w:r w:rsidRPr="00C9231E">
        <w:t xml:space="preserve">the effective investigation of the relevant wrongdoing </w:t>
      </w:r>
      <w:r w:rsidR="007F2ECC" w:rsidRPr="00C9231E">
        <w:t>concerned.</w:t>
      </w:r>
    </w:p>
    <w:p w14:paraId="2BE15BAA" w14:textId="20E721DF" w:rsidR="005834C6" w:rsidRDefault="005834C6" w:rsidP="005834C6">
      <w:pPr>
        <w:pStyle w:val="ListParagraph"/>
        <w:numPr>
          <w:ilvl w:val="0"/>
          <w:numId w:val="6"/>
        </w:numPr>
        <w:ind w:right="357"/>
      </w:pPr>
      <w:r>
        <w:t>the prevent</w:t>
      </w:r>
      <w:r w:rsidR="00014A24">
        <w:t>i</w:t>
      </w:r>
      <w:r>
        <w:t xml:space="preserve">on of serious risk to the security of the State, public health, public </w:t>
      </w:r>
      <w:r w:rsidR="007F2ECC">
        <w:t>safety,</w:t>
      </w:r>
      <w:r>
        <w:t xml:space="preserve"> or the environment</w:t>
      </w:r>
    </w:p>
    <w:p w14:paraId="7F866584" w14:textId="77777777" w:rsidR="005834C6" w:rsidRDefault="005834C6" w:rsidP="005834C6">
      <w:pPr>
        <w:pStyle w:val="ListParagraph"/>
        <w:numPr>
          <w:ilvl w:val="0"/>
          <w:numId w:val="6"/>
        </w:numPr>
        <w:ind w:right="357"/>
      </w:pPr>
      <w:r>
        <w:t>the prevention of crime or prosecution of a criminal offence, or</w:t>
      </w:r>
    </w:p>
    <w:p w14:paraId="440FF7BE" w14:textId="77777777" w:rsidR="00E53017" w:rsidRDefault="00E53017" w:rsidP="00E53017">
      <w:pPr>
        <w:pStyle w:val="ListParagraph"/>
        <w:numPr>
          <w:ilvl w:val="0"/>
          <w:numId w:val="6"/>
        </w:numPr>
        <w:ind w:right="357"/>
      </w:pPr>
      <w:r>
        <w:t xml:space="preserve">the disclosure is otherwise necessary in the public interest or is required by law. </w:t>
      </w:r>
    </w:p>
    <w:p w14:paraId="75D3A897" w14:textId="77777777" w:rsidR="00E53017" w:rsidRDefault="00E53017" w:rsidP="00E53017">
      <w:pPr>
        <w:pStyle w:val="ListParagraph"/>
        <w:ind w:left="2565" w:right="357" w:firstLine="0"/>
      </w:pPr>
    </w:p>
    <w:p w14:paraId="5C96B35E" w14:textId="77777777" w:rsidR="00E53017" w:rsidRDefault="00E53017" w:rsidP="00E53017">
      <w:pPr>
        <w:pStyle w:val="ListParagraph"/>
        <w:ind w:left="2565" w:right="357" w:firstLine="0"/>
      </w:pPr>
    </w:p>
    <w:p w14:paraId="6EFBC7BC" w14:textId="77EE970D" w:rsidR="00E53017" w:rsidRDefault="00E53017" w:rsidP="00014A24">
      <w:pPr>
        <w:pStyle w:val="ListParagraph"/>
        <w:ind w:left="1440" w:right="0" w:hanging="720"/>
      </w:pPr>
      <w:r>
        <w:t>4.5</w:t>
      </w:r>
      <w:r>
        <w:tab/>
        <w:t xml:space="preserve">Where action is to be taken following a disclosure, except in exceptional cases, the person receiving the protected disclosure should contact the reporting person and, where possible, gain the informed consent of the reporting person, prior to any action being taken that could identify him/her.  </w:t>
      </w:r>
    </w:p>
    <w:p w14:paraId="44B95DC5" w14:textId="77212031" w:rsidR="00E53017" w:rsidRPr="009C18F7" w:rsidRDefault="00E53017" w:rsidP="00014A24">
      <w:pPr>
        <w:ind w:left="1438" w:right="0" w:hanging="735"/>
      </w:pPr>
      <w:r>
        <w:t>4.6</w:t>
      </w:r>
      <w:r>
        <w:tab/>
        <w:t xml:space="preserve">Where it is decided that it is necessary to disclose information that may or will disclose the identity of the reporting person, the reporting person will be informed of this decision, except in exceptional cases. The reporting person may request a review of this decision and a review will be carried out, where practicable. </w:t>
      </w:r>
    </w:p>
    <w:p w14:paraId="5269FE23" w14:textId="1DBB1994" w:rsidR="00E53017" w:rsidRDefault="00E53017" w:rsidP="00014A24">
      <w:pPr>
        <w:spacing w:after="228"/>
        <w:ind w:left="1438" w:right="0"/>
      </w:pPr>
      <w:r>
        <w:t>4.7</w:t>
      </w:r>
      <w:r>
        <w:tab/>
        <w:t xml:space="preserve">An anonymous disclosure is where a reporting person withholds their identity, and a confidential disclosure is where identity is protected by the recipient. Anonymous disclosures made by a worker are not excluded from the protection of the PDA or this policy. Anonymous disclosures will be acted upon to the extent that it is possible, although the ability to investigate may be constrained in the absence of the knowledge of the identity of the discloser. </w:t>
      </w:r>
    </w:p>
    <w:p w14:paraId="47475CD5" w14:textId="77777777" w:rsidR="00E53017" w:rsidRDefault="00E53017" w:rsidP="00014A24">
      <w:pPr>
        <w:spacing w:after="228"/>
        <w:ind w:left="1438" w:right="0" w:firstLine="0"/>
      </w:pPr>
      <w:r>
        <w:t>It should be borne in mind that keeping the reporting person informed and protecting the reporting person from penalisation may be difficult or impossible to apply unless the reporting person’s anonymity lifts. Furthermore, a reporting person cannot obtain redress under the PDA without identifying themselves.</w:t>
      </w:r>
    </w:p>
    <w:p w14:paraId="3244A790" w14:textId="39D09CCB" w:rsidR="00D30016" w:rsidRDefault="00E53017" w:rsidP="00014A24">
      <w:pPr>
        <w:spacing w:after="228"/>
        <w:ind w:left="1438" w:right="0" w:firstLine="0"/>
      </w:pPr>
      <w:r>
        <w:t xml:space="preserve">Where the anonymous report contains enough information to allow an initial assessment that there is prima facie evidence that a relevant wrongdoing has occurred, follow-up action should be taken by the Council to the extent that it is possible from the information provided. Where it is possible to communicate with the reporting person (e.g. they have made their report via an anonymous e-mail account), it may be possible to seek further information from the reporting person to make a better initial assessment or as part of further follow-up action. </w:t>
      </w:r>
      <w:r w:rsidR="00D30016">
        <w:t xml:space="preserve"> </w:t>
      </w:r>
    </w:p>
    <w:p w14:paraId="50A884BD" w14:textId="5A0C1E56" w:rsidR="00D30016" w:rsidRDefault="00D30016" w:rsidP="00D30016">
      <w:pPr>
        <w:ind w:left="1438" w:right="41" w:hanging="735"/>
      </w:pPr>
      <w:r>
        <w:t>4.</w:t>
      </w:r>
      <w:r w:rsidR="00547FF3">
        <w:t>8</w:t>
      </w:r>
      <w:r>
        <w:tab/>
        <w:t>Where practicable, the discloser should be contacted and their consent sought prior to any action being taken that could identify them, unless doing so would jeopardise any related investigations or judicial proceedings.</w:t>
      </w:r>
    </w:p>
    <w:p w14:paraId="6BF919D4" w14:textId="7F739FA2" w:rsidR="00D30016" w:rsidRDefault="00D30016" w:rsidP="00D30016">
      <w:pPr>
        <w:spacing w:after="495"/>
        <w:ind w:left="1438" w:right="41" w:hanging="735"/>
      </w:pPr>
      <w:r>
        <w:t>4.</w:t>
      </w:r>
      <w:r w:rsidR="00547FF3">
        <w:t>9</w:t>
      </w:r>
      <w:r>
        <w:tab/>
        <w:t xml:space="preserve">It will be much more difficult and problematic for the Council to investigate matters which are reported anonymously. Accordingly, while the Council will consider </w:t>
      </w:r>
      <w:r w:rsidRPr="00F80B94">
        <w:rPr>
          <w:color w:val="auto"/>
        </w:rPr>
        <w:t xml:space="preserve">anonymous disclosures, they are not encouraged and there is no obligation on the Council to accept and </w:t>
      </w:r>
      <w:r w:rsidRPr="00F80B94">
        <w:rPr>
          <w:color w:val="auto"/>
          <w:u w:color="0000FF"/>
        </w:rPr>
        <w:t>follow-up</w:t>
      </w:r>
      <w:r w:rsidRPr="00F80B94">
        <w:rPr>
          <w:color w:val="auto"/>
        </w:rPr>
        <w:t xml:space="preserve"> on anonymous </w:t>
      </w:r>
      <w:r w:rsidR="00461341" w:rsidRPr="00F80B94">
        <w:rPr>
          <w:color w:val="auto"/>
        </w:rPr>
        <w:t>disclosures,</w:t>
      </w:r>
      <w:r w:rsidRPr="00F80B94">
        <w:rPr>
          <w:color w:val="auto"/>
        </w:rPr>
        <w:t xml:space="preserve"> </w:t>
      </w:r>
      <w:r w:rsidRPr="00F80B94">
        <w:rPr>
          <w:color w:val="auto"/>
          <w:u w:color="0000FF"/>
        </w:rPr>
        <w:t>but the Council may, if it considers it appropriate to do so, follow-up on a matter the subject of an anonymous disclosure</w:t>
      </w:r>
      <w:r>
        <w:rPr>
          <w:color w:val="auto"/>
          <w:u w:color="0000FF"/>
        </w:rPr>
        <w:t xml:space="preserve">. </w:t>
      </w:r>
      <w:r w:rsidRPr="00F80B94">
        <w:rPr>
          <w:color w:val="auto"/>
        </w:rPr>
        <w:t>However, persons who report anonymously are protected from penalisation if they are subsequently identified.</w:t>
      </w:r>
    </w:p>
    <w:p w14:paraId="32ED57B0" w14:textId="3183A005" w:rsidR="00D30016" w:rsidRDefault="00D30016" w:rsidP="00D30016">
      <w:pPr>
        <w:spacing w:after="228"/>
        <w:ind w:left="0" w:right="361" w:firstLine="0"/>
        <w:sectPr w:rsidR="00D30016" w:rsidSect="00D24DBA">
          <w:headerReference w:type="even" r:id="rId8"/>
          <w:headerReference w:type="default" r:id="rId9"/>
          <w:footerReference w:type="even" r:id="rId10"/>
          <w:footerReference w:type="default" r:id="rId11"/>
          <w:headerReference w:type="first" r:id="rId12"/>
          <w:footerReference w:type="first" r:id="rId13"/>
          <w:pgSz w:w="11900" w:h="16849"/>
          <w:pgMar w:top="2483" w:right="1812" w:bottom="805" w:left="638" w:header="720" w:footer="720" w:gutter="0"/>
          <w:cols w:space="720"/>
        </w:sectPr>
      </w:pPr>
    </w:p>
    <w:p w14:paraId="5649CCC2" w14:textId="77777777" w:rsidR="00C52B3D" w:rsidRDefault="00C52B3D" w:rsidP="00E53017">
      <w:pPr>
        <w:spacing w:after="0" w:line="252" w:lineRule="auto"/>
        <w:ind w:left="0" w:firstLine="0"/>
        <w:sectPr w:rsidR="00C52B3D" w:rsidSect="00D24DBA">
          <w:type w:val="continuous"/>
          <w:pgSz w:w="11900" w:h="16849"/>
          <w:pgMar w:top="2483" w:right="7186" w:bottom="805" w:left="1800" w:header="720" w:footer="720" w:gutter="0"/>
          <w:cols w:space="720"/>
        </w:sectPr>
      </w:pPr>
    </w:p>
    <w:p w14:paraId="22E96348" w14:textId="57F792C6" w:rsidR="00334ABC" w:rsidRPr="00334ABC" w:rsidRDefault="00334ABC" w:rsidP="00E53017">
      <w:pPr>
        <w:spacing w:after="228"/>
        <w:ind w:left="0" w:right="361" w:firstLine="0"/>
        <w:rPr>
          <w:strike/>
          <w:color w:val="FF0000"/>
          <w:sz w:val="24"/>
        </w:rPr>
        <w:sectPr w:rsidR="00334ABC" w:rsidRPr="00334ABC" w:rsidSect="00D24DBA">
          <w:type w:val="continuous"/>
          <w:pgSz w:w="11900" w:h="16849"/>
          <w:pgMar w:top="2342" w:right="1495" w:bottom="805" w:left="3238" w:header="720" w:footer="720" w:gutter="0"/>
          <w:cols w:space="720"/>
        </w:sectPr>
      </w:pPr>
    </w:p>
    <w:p w14:paraId="2D4D82BE" w14:textId="524AE2D5" w:rsidR="00C52B3D" w:rsidRDefault="00667947" w:rsidP="00667947">
      <w:pPr>
        <w:pStyle w:val="Heading2"/>
        <w:tabs>
          <w:tab w:val="center" w:pos="2323"/>
        </w:tabs>
        <w:ind w:left="0" w:firstLine="0"/>
      </w:pPr>
      <w:r>
        <w:t>5</w:t>
      </w:r>
      <w:r w:rsidR="00683A9B">
        <w:t>.</w:t>
      </w:r>
      <w:r>
        <w:tab/>
      </w:r>
      <w:r w:rsidR="00E2478A">
        <w:t>How the Council will respond</w:t>
      </w:r>
    </w:p>
    <w:p w14:paraId="119D8E97" w14:textId="78374116" w:rsidR="00C52B3D" w:rsidRDefault="00E2478A">
      <w:pPr>
        <w:ind w:left="703" w:right="41"/>
      </w:pPr>
      <w:r>
        <w:t>5.1</w:t>
      </w:r>
      <w:r w:rsidR="00FB523D">
        <w:tab/>
      </w:r>
      <w:r>
        <w:t xml:space="preserve">A worker may make a protected disclosure in writing or orally </w:t>
      </w:r>
      <w:r w:rsidR="00F32163">
        <w:t xml:space="preserve">(including by telephone and/ or recorded message) </w:t>
      </w:r>
      <w:r>
        <w:t xml:space="preserve">or both.  When a worker raises any concerns, the person to whom the concerns/allegation is made will make a record of the discussion noting any request for confidentiality. A verbal summary of the concerns will be read back to the worker at the conclusion of the discussion. Formal acknowledgement of the receipt of the protected disclosure will be made within seven </w:t>
      </w:r>
      <w:r w:rsidR="007F2ECC">
        <w:t>days</w:t>
      </w:r>
      <w:r>
        <w:t xml:space="preserve"> of that receipt.</w:t>
      </w:r>
    </w:p>
    <w:p w14:paraId="6473E8FB" w14:textId="2F731827" w:rsidR="00C52B3D" w:rsidRDefault="00E2478A">
      <w:pPr>
        <w:ind w:left="703" w:right="41"/>
      </w:pPr>
      <w:r>
        <w:t>5.2</w:t>
      </w:r>
      <w:r w:rsidR="00FB523D">
        <w:tab/>
      </w:r>
      <w:r>
        <w:t xml:space="preserve">If the worker raising the complaint has any personal conflict of interest in the matter, this should be disclosed at the outset. If the concern reported is more properly an issue to be handled within the </w:t>
      </w:r>
      <w:r w:rsidR="003525B3">
        <w:t>Council’s</w:t>
      </w:r>
      <w:r>
        <w:t xml:space="preserve"> Grievance Procedure (i.e., an interpersonal grievance), the member of staff will be so informed.</w:t>
      </w:r>
    </w:p>
    <w:p w14:paraId="4DBDD2E1" w14:textId="50135A83" w:rsidR="00C52B3D" w:rsidRDefault="00E2478A">
      <w:pPr>
        <w:ind w:left="703" w:right="41"/>
      </w:pPr>
      <w:r>
        <w:t>5.3</w:t>
      </w:r>
      <w:r w:rsidR="00FB523D">
        <w:tab/>
      </w:r>
      <w:r>
        <w:t>The Chairperson of the Council or the 1</w:t>
      </w:r>
      <w:r>
        <w:rPr>
          <w:vertAlign w:val="superscript"/>
        </w:rPr>
        <w:t>st</w:t>
      </w:r>
      <w:r>
        <w:t xml:space="preserve"> Protected Disclosures Officer will be appointed to deal with the matter and will maintain communication with the worker. The Chairperson of the Council or the 1</w:t>
      </w:r>
      <w:r>
        <w:rPr>
          <w:vertAlign w:val="superscript"/>
        </w:rPr>
        <w:t>st</w:t>
      </w:r>
      <w:r>
        <w:t xml:space="preserve"> Protected Disclosures Officer will provide a reasonable timeframe to provide feedback, not exceeding three months from the acknowledgment of receipt of the protected disclosure or where no acknowledgement was sent to the reporting person, three months from the expiry of the </w:t>
      </w:r>
      <w:r w:rsidR="007F2ECC">
        <w:t>seven-day</w:t>
      </w:r>
      <w:r>
        <w:t xml:space="preserve"> period after the report was made. The Chairperson of the Council or the 1</w:t>
      </w:r>
      <w:r>
        <w:rPr>
          <w:vertAlign w:val="superscript"/>
        </w:rPr>
        <w:t xml:space="preserve">st </w:t>
      </w:r>
      <w:r>
        <w:t xml:space="preserve">Protected Disclosures officer, as applicable, will then decide how best to respond in a responsible and appropriate manner under this Policy. Usually this will involve making internal </w:t>
      </w:r>
      <w:r w:rsidR="007F2ECC">
        <w:t>enquiries,</w:t>
      </w:r>
      <w:r>
        <w:t xml:space="preserve"> but it may be necessary to carry out an investigation at a later stage, which may be formal or informal depending on the nature and circumstances of the concern raised.</w:t>
      </w:r>
    </w:p>
    <w:p w14:paraId="064FD896" w14:textId="77777777" w:rsidR="00C52B3D" w:rsidRDefault="00E2478A">
      <w:pPr>
        <w:ind w:left="703" w:right="41"/>
      </w:pPr>
      <w:r>
        <w:t>5.4</w:t>
      </w:r>
      <w:r>
        <w:tab/>
        <w:t>A decision as to whether a preliminary investigation should be carried out will be made as soon as possible.</w:t>
      </w:r>
    </w:p>
    <w:p w14:paraId="390B35CF" w14:textId="15E6D11C" w:rsidR="000052BA" w:rsidRDefault="000052BA">
      <w:pPr>
        <w:ind w:left="703" w:right="41"/>
      </w:pPr>
      <w:r>
        <w:t>5</w:t>
      </w:r>
      <w:r w:rsidR="00F80B94">
        <w:t>.</w:t>
      </w:r>
      <w:r>
        <w:t>5</w:t>
      </w:r>
      <w:r>
        <w:tab/>
      </w:r>
      <w:r w:rsidR="00BD0407">
        <w:t xml:space="preserve">The preliminary investigation will involve an assessment of the disclosure to seek to determine </w:t>
      </w:r>
      <w:r w:rsidR="007F2ECC">
        <w:t>whether</w:t>
      </w:r>
      <w:r w:rsidR="00BD0407">
        <w:t xml:space="preserve"> it should be treated as a potentially protected disclosure, </w:t>
      </w:r>
      <w:r w:rsidR="0096306B">
        <w:t>if</w:t>
      </w:r>
      <w:r w:rsidR="00B41579">
        <w:t xml:space="preserve"> it is unclear whether the disclosure qualifies as a protected disclosure, the person in receipt of the protected disclosure will treat the information as a protected disclosure until satisfied that the information is not a protected disclosure. </w:t>
      </w:r>
    </w:p>
    <w:p w14:paraId="00C77FBB" w14:textId="564A16AB" w:rsidR="00B41579" w:rsidRDefault="00B41579" w:rsidP="00163D42">
      <w:pPr>
        <w:ind w:left="703" w:right="41" w:firstLine="17"/>
      </w:pPr>
      <w:r>
        <w:t>It may be necessary, as part of the preliminary investigation, to differentiate between protected disclosures and personal complaints and/or personal grievances and/ or a complaint under the Dignity at the Workplace policy. In these circumstances, it may be necessary to separate the different elements of the complaint</w:t>
      </w:r>
      <w:r w:rsidR="00FB523D">
        <w:t xml:space="preserve"> </w:t>
      </w:r>
      <w:r>
        <w:t>/</w:t>
      </w:r>
      <w:r w:rsidR="00FB523D">
        <w:t xml:space="preserve"> </w:t>
      </w:r>
      <w:r>
        <w:t xml:space="preserve">disclosure and determine whether any specific disclosure of information relating to a relevant wrongdoing has taken place. </w:t>
      </w:r>
    </w:p>
    <w:p w14:paraId="0E376105" w14:textId="7FB247B6" w:rsidR="00170508" w:rsidRPr="000052BA" w:rsidRDefault="00170508" w:rsidP="00163D42">
      <w:pPr>
        <w:ind w:left="720" w:right="41" w:hanging="17"/>
      </w:pPr>
      <w:r>
        <w:t>Where the person who receives the initial allegation considers that an investigation would be inappropriate s/he will identify the reasons for such a conclusion and copy it to the 1</w:t>
      </w:r>
      <w:r>
        <w:rPr>
          <w:vertAlign w:val="superscript"/>
        </w:rPr>
        <w:t>st</w:t>
      </w:r>
      <w:r>
        <w:t>Protected Disclosures Officer. The reporting person will be informed of this decision and given the opportunity to resubmit the allegation to the 1</w:t>
      </w:r>
      <w:r>
        <w:rPr>
          <w:vertAlign w:val="superscript"/>
        </w:rPr>
        <w:t>st</w:t>
      </w:r>
      <w:r>
        <w:t>Protected Disclosures Officer. This option will not apply where an allegation has been disproved following an investigation.</w:t>
      </w:r>
    </w:p>
    <w:p w14:paraId="3C0FAC73" w14:textId="3760829D" w:rsidR="00C52B3D" w:rsidRDefault="00E2478A" w:rsidP="00163D42">
      <w:pPr>
        <w:spacing w:after="0" w:line="279" w:lineRule="auto"/>
        <w:ind w:left="720" w:right="168" w:hanging="720"/>
      </w:pPr>
      <w:r>
        <w:t>5.</w:t>
      </w:r>
      <w:r w:rsidR="00170508">
        <w:t>6</w:t>
      </w:r>
      <w:r>
        <w:tab/>
        <w:t xml:space="preserve">Where an investigation is deemed necessary, it will be carried out in accordance with the principles of natural justice and guided by the principles of fairness, </w:t>
      </w:r>
      <w:r w:rsidR="007F2ECC">
        <w:t>impartiality,</w:t>
      </w:r>
      <w:r>
        <w:t xml:space="preserve"> and objectivity</w:t>
      </w:r>
      <w:r>
        <w:rPr>
          <w:b/>
        </w:rPr>
        <w:t xml:space="preserve">. Unless there are exceptional circumstances, no investigation shall be commenced until the Chairperson of the Council has been informed. </w:t>
      </w:r>
      <w:r>
        <w:t>If an investigation is to be carried out, it will be done, under the relevant CORU policy, for example, Dignity in Work, Fraud Response Policy, where applicable.</w:t>
      </w:r>
    </w:p>
    <w:p w14:paraId="517E9F30" w14:textId="77777777" w:rsidR="00667947" w:rsidRDefault="00667947" w:rsidP="00163D42">
      <w:pPr>
        <w:spacing w:after="0" w:line="279" w:lineRule="auto"/>
        <w:ind w:left="720" w:right="168" w:hanging="720"/>
      </w:pPr>
    </w:p>
    <w:p w14:paraId="40579D61" w14:textId="15AEBCE9" w:rsidR="00C52B3D" w:rsidRDefault="00E2478A">
      <w:pPr>
        <w:ind w:left="703" w:right="41"/>
      </w:pPr>
      <w:r>
        <w:t>5.7</w:t>
      </w:r>
      <w:r w:rsidR="00FB523D">
        <w:tab/>
      </w:r>
      <w:r>
        <w:t>Where the investigation confirms that a relevant wrongdoing has occurred, appropriate disciplinary action in accordance with the Council Disciplinary Procedures will be taken against the wrongdoer, including up to termination of employment, restitution and or forwarding information to the appropriate authorities for criminal prosecution. Reimbursement of losses together with ancillary legal and other costs incurred will be sought in all cases. Where relevant, compensation may be paid to complainants who are not in receipt of remuneration in respect of the work-related context in which they have made a Protected Disclosure, in accordance with the PDA.</w:t>
      </w:r>
    </w:p>
    <w:p w14:paraId="0C9D15AD" w14:textId="173FCB39" w:rsidR="003A604E" w:rsidRDefault="00E2478A">
      <w:pPr>
        <w:ind w:left="703" w:right="41"/>
      </w:pPr>
      <w:r>
        <w:t>5.8</w:t>
      </w:r>
      <w:r w:rsidR="00FB523D">
        <w:tab/>
      </w:r>
      <w:r>
        <w:t xml:space="preserve">At the completion of the investigation, and </w:t>
      </w:r>
      <w:r w:rsidR="007F2ECC">
        <w:t>where</w:t>
      </w:r>
      <w:r>
        <w:t xml:space="preserve"> the allegations were unsubstantiated, the </w:t>
      </w:r>
      <w:r w:rsidR="00A46684">
        <w:t>reporting person</w:t>
      </w:r>
      <w:r>
        <w:t xml:space="preserve"> will be informed of the outcome.</w:t>
      </w:r>
      <w:r w:rsidR="00832023">
        <w:t xml:space="preserve"> </w:t>
      </w:r>
    </w:p>
    <w:p w14:paraId="7C3D77C3" w14:textId="0A4E985F" w:rsidR="00C52B3D" w:rsidRPr="00832023" w:rsidRDefault="003A604E">
      <w:pPr>
        <w:ind w:left="703" w:right="41"/>
      </w:pPr>
      <w:r>
        <w:t>5.9</w:t>
      </w:r>
      <w:r w:rsidR="00FB523D">
        <w:tab/>
      </w:r>
      <w:r w:rsidR="00832023">
        <w:t xml:space="preserve">Whilst </w:t>
      </w:r>
      <w:r w:rsidR="00ED2B94">
        <w:t xml:space="preserve">the Council </w:t>
      </w:r>
      <w:r w:rsidR="008C0A03">
        <w:t xml:space="preserve">recognises that reporting persons may have a significant interest in relation to all processes related to the </w:t>
      </w:r>
      <w:r w:rsidR="0096306B">
        <w:t>investigation,</w:t>
      </w:r>
      <w:r>
        <w:t xml:space="preserve"> they will appreciate that it is the responsibility of </w:t>
      </w:r>
      <w:r w:rsidR="00ED2B94">
        <w:t>the Council</w:t>
      </w:r>
      <w:r>
        <w:t xml:space="preserve"> to deal with information provided as appropriate. Whilst </w:t>
      </w:r>
      <w:r w:rsidR="00ED2B94">
        <w:t xml:space="preserve">the Council </w:t>
      </w:r>
      <w:r>
        <w:t xml:space="preserve">will endeavour to keep the reporting person advised of the progress of the investigation, </w:t>
      </w:r>
      <w:r w:rsidR="00ED2B94">
        <w:t>the Council</w:t>
      </w:r>
      <w:r>
        <w:t xml:space="preserve">’s ability to do so may be limited by the nature and actions proposed particularly if they relate to other individuals. </w:t>
      </w:r>
    </w:p>
    <w:p w14:paraId="74ADB384" w14:textId="66F21162" w:rsidR="00C52B3D" w:rsidRDefault="00E2478A" w:rsidP="00163D42">
      <w:pPr>
        <w:ind w:left="703" w:right="41"/>
      </w:pPr>
      <w:r>
        <w:t>5.</w:t>
      </w:r>
      <w:r w:rsidR="003A604E">
        <w:t>10</w:t>
      </w:r>
      <w:r w:rsidR="00FB523D">
        <w:tab/>
      </w:r>
      <w:r>
        <w:t xml:space="preserve">The objective of this Policy is to provide a process to encourage individuals to raise genuine concerns of wrongdoing and malpractice. In a situation where the </w:t>
      </w:r>
      <w:r w:rsidR="00A46684">
        <w:t>reporting person</w:t>
      </w:r>
      <w:r>
        <w:t xml:space="preserve"> has him/herself been involved in wrongdoing </w:t>
      </w:r>
      <w:r w:rsidR="00D31B70">
        <w:t>(s)he</w:t>
      </w:r>
      <w:r>
        <w:t xml:space="preserve"> should not expect immunity from disciplinary or criminal proceedings. In such circumstances, however, the fact that </w:t>
      </w:r>
      <w:r w:rsidR="00D31B70">
        <w:t>(s)he</w:t>
      </w:r>
      <w:r>
        <w:t xml:space="preserve"> raised the concern may be </w:t>
      </w:r>
      <w:r w:rsidR="007F2ECC">
        <w:t>considered</w:t>
      </w:r>
      <w:r>
        <w:t>.</w:t>
      </w:r>
    </w:p>
    <w:p w14:paraId="6901006E" w14:textId="79CCA040" w:rsidR="00667947" w:rsidRDefault="00E2478A" w:rsidP="00667947">
      <w:pPr>
        <w:ind w:left="703" w:right="41" w:hanging="703"/>
      </w:pPr>
      <w:r w:rsidRPr="00F80B94">
        <w:rPr>
          <w:color w:val="auto"/>
        </w:rPr>
        <w:t>5.1</w:t>
      </w:r>
      <w:r w:rsidR="00667947">
        <w:rPr>
          <w:color w:val="auto"/>
        </w:rPr>
        <w:t>1</w:t>
      </w:r>
      <w:r w:rsidR="00667947">
        <w:rPr>
          <w:color w:val="auto"/>
        </w:rPr>
        <w:tab/>
      </w:r>
      <w:r w:rsidR="00D2306B">
        <w:rPr>
          <w:color w:val="auto"/>
        </w:rPr>
        <w:t>It is the policy of the Council to keep the individual who raised the concern informed, as appropriate, of the progress and out</w:t>
      </w:r>
      <w:r w:rsidR="00667947">
        <w:t>come of any enquiries or investigations carried out. However, the Council will not inform him/her of any matters which would infringe duties owed to other parties or in respect of which the Council has received legal advice to the effect that information should not be released. Staff are required to keep confidential any information provided to them as part of these procedures.</w:t>
      </w:r>
    </w:p>
    <w:p w14:paraId="258078ED" w14:textId="47D6B345" w:rsidR="00C52B3D" w:rsidRDefault="00E2478A">
      <w:pPr>
        <w:spacing w:after="499"/>
        <w:ind w:left="703" w:right="41"/>
      </w:pPr>
      <w:r w:rsidRPr="00F80B94">
        <w:rPr>
          <w:color w:val="auto"/>
        </w:rPr>
        <w:t xml:space="preserve">5.12 </w:t>
      </w:r>
      <w:r w:rsidR="00F80B94" w:rsidRPr="00F80B94">
        <w:rPr>
          <w:color w:val="auto"/>
        </w:rPr>
        <w:t xml:space="preserve">   </w:t>
      </w:r>
      <w:r>
        <w:t>As noted above and in accordance with the PDA, any worker who makes a Protected Disclosure will be protected from penalisation.</w:t>
      </w:r>
      <w:r w:rsidR="000001F9">
        <w:t xml:space="preserve"> Penalisation means any direct or indirect act or omission which occurs in a </w:t>
      </w:r>
      <w:r w:rsidR="0096306B">
        <w:t>work-related</w:t>
      </w:r>
      <w:r w:rsidR="000001F9">
        <w:t xml:space="preserve"> context and has been </w:t>
      </w:r>
      <w:proofErr w:type="spellStart"/>
      <w:r w:rsidR="000001F9">
        <w:t>promped</w:t>
      </w:r>
      <w:proofErr w:type="spellEnd"/>
      <w:r w:rsidR="000001F9">
        <w:t xml:space="preserve"> </w:t>
      </w:r>
      <w:r w:rsidR="007F2ECC">
        <w:t>because of</w:t>
      </w:r>
      <w:r w:rsidR="000001F9">
        <w:t xml:space="preserve"> a reporting person having made a protected disclosure </w:t>
      </w:r>
      <w:r w:rsidR="00D06BE1">
        <w:t xml:space="preserve">and causes or may cause unjustified detriment to a worker, </w:t>
      </w:r>
      <w:r w:rsidR="00BE4D1E">
        <w:t>and</w:t>
      </w:r>
      <w:r w:rsidR="00D06BE1">
        <w:t xml:space="preserve"> </w:t>
      </w:r>
      <w:proofErr w:type="gramStart"/>
      <w:r w:rsidR="00D06BE1">
        <w:t>in particular includes</w:t>
      </w:r>
      <w:proofErr w:type="gramEnd"/>
      <w:r w:rsidR="00FB523D">
        <w:t xml:space="preserve"> -</w:t>
      </w:r>
    </w:p>
    <w:p w14:paraId="5884B738" w14:textId="6EFCE9AA" w:rsidR="00D06BE1" w:rsidRDefault="00D06BE1" w:rsidP="00D06BE1">
      <w:pPr>
        <w:spacing w:after="499"/>
        <w:ind w:left="703" w:right="41"/>
      </w:pPr>
      <w:r>
        <w:rPr>
          <w:color w:val="0000FF"/>
        </w:rPr>
        <w:tab/>
      </w:r>
      <w:r w:rsidRPr="00F80B94">
        <w:rPr>
          <w:color w:val="auto"/>
        </w:rPr>
        <w:t>(a.) s</w:t>
      </w:r>
      <w:r>
        <w:t>uspension, lay off or dismissal</w:t>
      </w:r>
      <w:r w:rsidR="002E3946">
        <w:t>,</w:t>
      </w:r>
    </w:p>
    <w:p w14:paraId="76FC7757" w14:textId="2CB7E426" w:rsidR="002E3946" w:rsidRDefault="002E3946" w:rsidP="00D06BE1">
      <w:pPr>
        <w:spacing w:after="499"/>
        <w:ind w:left="703" w:right="41"/>
      </w:pPr>
      <w:r>
        <w:tab/>
        <w:t>(b.) demotion, loss of opportunity for promotion or withholding of promotion,</w:t>
      </w:r>
    </w:p>
    <w:p w14:paraId="5A60A93C" w14:textId="5E08B3B3" w:rsidR="002E3946" w:rsidRDefault="002E3946" w:rsidP="00D06BE1">
      <w:pPr>
        <w:spacing w:after="499"/>
        <w:ind w:left="703" w:right="41"/>
      </w:pPr>
      <w:r>
        <w:tab/>
        <w:t>(c.) transfer of duties, change of location of place of work, reduction in wages or change in working hours,</w:t>
      </w:r>
    </w:p>
    <w:p w14:paraId="654A6E09" w14:textId="04F937B8" w:rsidR="002E3946" w:rsidRDefault="002E3946" w:rsidP="00D06BE1">
      <w:pPr>
        <w:spacing w:after="499"/>
        <w:ind w:left="703" w:right="41"/>
      </w:pPr>
      <w:r>
        <w:tab/>
        <w:t xml:space="preserve">(d.) the imposition or administering of any discipline, </w:t>
      </w:r>
      <w:proofErr w:type="gramStart"/>
      <w:r>
        <w:t>reprimand</w:t>
      </w:r>
      <w:proofErr w:type="gramEnd"/>
      <w:r>
        <w:t xml:space="preserve"> or other </w:t>
      </w:r>
      <w:r w:rsidR="007F2ECC">
        <w:t>penalty.</w:t>
      </w:r>
    </w:p>
    <w:p w14:paraId="0209B017" w14:textId="5F107FA6" w:rsidR="002E3946" w:rsidRDefault="002E3946" w:rsidP="00D06BE1">
      <w:pPr>
        <w:spacing w:after="499"/>
        <w:ind w:left="703" w:right="41"/>
      </w:pPr>
      <w:r>
        <w:tab/>
        <w:t xml:space="preserve">(e.) coercion, intimidation, </w:t>
      </w:r>
      <w:r w:rsidR="007F2ECC">
        <w:t>harassment,</w:t>
      </w:r>
      <w:r>
        <w:t xml:space="preserve"> or ostracism</w:t>
      </w:r>
    </w:p>
    <w:p w14:paraId="4955735E" w14:textId="2DCAFFD8" w:rsidR="002E3946" w:rsidRDefault="002E3946" w:rsidP="00D06BE1">
      <w:pPr>
        <w:spacing w:after="499"/>
        <w:ind w:left="703" w:right="41"/>
      </w:pPr>
      <w:r>
        <w:tab/>
        <w:t xml:space="preserve">(f.) discrimination, </w:t>
      </w:r>
      <w:r w:rsidR="007F2ECC">
        <w:t>disadvantage,</w:t>
      </w:r>
      <w:r>
        <w:t xml:space="preserve"> or unfair treatment</w:t>
      </w:r>
    </w:p>
    <w:p w14:paraId="2B8887D8" w14:textId="1CC11B63" w:rsidR="002E3946" w:rsidRDefault="002E3946" w:rsidP="00D06BE1">
      <w:pPr>
        <w:spacing w:after="499"/>
        <w:ind w:left="703" w:right="41"/>
      </w:pPr>
      <w:r>
        <w:tab/>
        <w:t xml:space="preserve">(g.) injury, </w:t>
      </w:r>
      <w:r w:rsidR="007F2ECC">
        <w:t>damage,</w:t>
      </w:r>
      <w:r>
        <w:t xml:space="preserve"> or loss</w:t>
      </w:r>
    </w:p>
    <w:p w14:paraId="085FFB8E" w14:textId="31B3F60E" w:rsidR="002E3946" w:rsidRDefault="002E3946" w:rsidP="00D06BE1">
      <w:pPr>
        <w:spacing w:after="499"/>
        <w:ind w:left="703" w:right="41"/>
      </w:pPr>
      <w:r>
        <w:tab/>
        <w:t>(h.) threat of reprisal</w:t>
      </w:r>
    </w:p>
    <w:p w14:paraId="727D7782" w14:textId="5AE749FA" w:rsidR="002E3946" w:rsidRDefault="002E3946" w:rsidP="00D06BE1">
      <w:pPr>
        <w:spacing w:after="499"/>
        <w:ind w:left="703" w:right="41"/>
      </w:pPr>
      <w:r>
        <w:tab/>
        <w:t xml:space="preserve">(i.) withholding of </w:t>
      </w:r>
      <w:r w:rsidR="007F2ECC">
        <w:t>training.</w:t>
      </w:r>
    </w:p>
    <w:p w14:paraId="424F0E26" w14:textId="2D60759B" w:rsidR="002E3946" w:rsidRDefault="002E3946" w:rsidP="00D06BE1">
      <w:pPr>
        <w:spacing w:after="499"/>
        <w:ind w:left="703" w:right="41"/>
      </w:pPr>
      <w:r>
        <w:tab/>
        <w:t>(j.) a negative performance assessment or employment reference</w:t>
      </w:r>
    </w:p>
    <w:p w14:paraId="6AA66398" w14:textId="031A8B7A" w:rsidR="002E3946" w:rsidRDefault="002E3946" w:rsidP="00D06BE1">
      <w:pPr>
        <w:spacing w:after="499"/>
        <w:ind w:left="703" w:right="41"/>
      </w:pPr>
      <w:r>
        <w:tab/>
        <w:t xml:space="preserve">(k.) failure to convert a temporary employment contract into a permanent one, where the worker had a legitimate expectation that (s)he would be offered permanent </w:t>
      </w:r>
      <w:r w:rsidR="007F2ECC">
        <w:t>employment.</w:t>
      </w:r>
    </w:p>
    <w:p w14:paraId="668B329C" w14:textId="436393F7" w:rsidR="002E3946" w:rsidRDefault="002E3946" w:rsidP="00D06BE1">
      <w:pPr>
        <w:spacing w:after="499"/>
        <w:ind w:left="703" w:right="41"/>
      </w:pPr>
      <w:r>
        <w:tab/>
        <w:t xml:space="preserve">(l.) failure to renew or early termination of a temporary employment </w:t>
      </w:r>
      <w:r w:rsidR="007F2ECC">
        <w:t>contract.</w:t>
      </w:r>
    </w:p>
    <w:p w14:paraId="25AA67EB" w14:textId="611E254F" w:rsidR="002E3946" w:rsidRDefault="002E3946" w:rsidP="00D06BE1">
      <w:pPr>
        <w:spacing w:after="499"/>
        <w:ind w:left="703" w:right="41"/>
      </w:pPr>
      <w:r>
        <w:tab/>
        <w:t xml:space="preserve">(m.) harm, including to the worker’s reputation, particularly in social media, or financial loss, including loss of </w:t>
      </w:r>
      <w:r w:rsidR="007F2ECC">
        <w:t>income.</w:t>
      </w:r>
    </w:p>
    <w:p w14:paraId="56A917DA" w14:textId="310C73AE" w:rsidR="002E3946" w:rsidRPr="00D06BE1" w:rsidRDefault="002E3946" w:rsidP="00D06BE1">
      <w:pPr>
        <w:spacing w:after="499"/>
        <w:ind w:left="703" w:right="41"/>
      </w:pPr>
      <w:r>
        <w:tab/>
        <w:t>(n.) psychiatric or medical referrals</w:t>
      </w:r>
    </w:p>
    <w:p w14:paraId="4CABEE4B" w14:textId="77777777" w:rsidR="00C52B3D" w:rsidRDefault="00E2478A">
      <w:pPr>
        <w:pStyle w:val="Heading2"/>
        <w:tabs>
          <w:tab w:val="center" w:pos="3320"/>
        </w:tabs>
        <w:ind w:left="0" w:firstLine="0"/>
      </w:pPr>
      <w:r>
        <w:t>6.</w:t>
      </w:r>
      <w:r>
        <w:tab/>
        <w:t>Raising a concern externally (exceptional cases)</w:t>
      </w:r>
    </w:p>
    <w:p w14:paraId="7AE1970C" w14:textId="58897908" w:rsidR="00C52B3D" w:rsidRDefault="00E2478A">
      <w:pPr>
        <w:ind w:left="703" w:right="41"/>
      </w:pPr>
      <w:r>
        <w:t>6.1</w:t>
      </w:r>
      <w:r w:rsidR="00FB523D">
        <w:tab/>
      </w:r>
      <w:r>
        <w:t>The main purpose of this Policy is to give workers the opportunity and protection needed to raise concerns of wrongdoing or malpractice internally. The Council, in the adoption of this Policy, anticipates that raising concerns internally would be the appropriate action for workers to take.</w:t>
      </w:r>
    </w:p>
    <w:p w14:paraId="3B6CA577" w14:textId="4F7320FF" w:rsidR="00C52B3D" w:rsidRDefault="00E2478A">
      <w:pPr>
        <w:ind w:left="703" w:right="41"/>
      </w:pPr>
      <w:r>
        <w:t>6.2</w:t>
      </w:r>
      <w:r w:rsidR="00FB523D">
        <w:tab/>
      </w:r>
      <w:r>
        <w:t>The PDA recognises that in some limited circumstances it may be appropriate for a worker to report concerns to an external body, such as a regulator or a person prescribed by law to be the recipient of relevant wrongdoings. It will rarely, if ever, be appropriate to inform the media.</w:t>
      </w:r>
    </w:p>
    <w:p w14:paraId="4098165D" w14:textId="77777777" w:rsidR="00102FF8" w:rsidRDefault="00E2478A">
      <w:pPr>
        <w:ind w:left="703" w:right="41"/>
      </w:pPr>
      <w:r>
        <w:t>6.3</w:t>
      </w:r>
      <w:r w:rsidR="00FB523D">
        <w:tab/>
      </w:r>
      <w:r>
        <w:t>A worker who is or was employed by the Council is entitled to make a Protected Disclosure to the Minister for Health.</w:t>
      </w:r>
      <w:r w:rsidR="00102FF8">
        <w:t xml:space="preserve"> </w:t>
      </w:r>
    </w:p>
    <w:p w14:paraId="58B8E726" w14:textId="77777777" w:rsidR="00102FF8" w:rsidRDefault="00102FF8">
      <w:pPr>
        <w:ind w:left="703" w:right="41"/>
      </w:pPr>
    </w:p>
    <w:p w14:paraId="48887645" w14:textId="3E1DCFCD" w:rsidR="00102FF8" w:rsidRDefault="00102FF8" w:rsidP="00102FF8">
      <w:pPr>
        <w:spacing w:after="0"/>
        <w:ind w:left="703" w:right="41"/>
      </w:pPr>
      <w:r>
        <w:t>6.</w:t>
      </w:r>
      <w:r w:rsidR="005834C6">
        <w:t>4</w:t>
      </w:r>
      <w:r>
        <w:t xml:space="preserve"> </w:t>
      </w:r>
      <w:r>
        <w:tab/>
        <w:t xml:space="preserve">In considering reporting an allegation or making a disclosure to external individuals or organisations, workers should be aware of their duty of confidentiality and consider whether reporting the concern externally, without first giving the Council the opportunity to consider and address the matter, is the most appropriate and reasonable course of action. Before making external disclosures and in the worker's interest, the Council recommends that the worker seeks legal advice as to whether such external disclosure falls within the scope of the protections afforded by the PDA in the </w:t>
      </w:r>
      <w:r w:rsidR="007F2ECC">
        <w:t>circumstances</w:t>
      </w:r>
      <w:r>
        <w:t xml:space="preserve"> in order to protect himself/herself against breach of any statutory or other obligations.</w:t>
      </w:r>
    </w:p>
    <w:p w14:paraId="28C8FE9B" w14:textId="77777777" w:rsidR="0040114D" w:rsidRDefault="0040114D" w:rsidP="00102FF8">
      <w:pPr>
        <w:spacing w:after="0"/>
        <w:ind w:left="703" w:right="41"/>
      </w:pPr>
    </w:p>
    <w:p w14:paraId="362E0A43" w14:textId="77777777" w:rsidR="00102FF8" w:rsidRDefault="00102FF8" w:rsidP="00102FF8">
      <w:pPr>
        <w:spacing w:after="0"/>
        <w:ind w:left="703" w:right="41"/>
      </w:pPr>
    </w:p>
    <w:p w14:paraId="1F4C73F9" w14:textId="77777777" w:rsidR="00102FF8" w:rsidRDefault="00102FF8" w:rsidP="00102FF8">
      <w:pPr>
        <w:spacing w:after="160" w:line="259" w:lineRule="auto"/>
        <w:ind w:left="0" w:right="0" w:firstLine="0"/>
        <w:jc w:val="left"/>
        <w:rPr>
          <w:b/>
        </w:rPr>
      </w:pPr>
      <w:r>
        <w:rPr>
          <w:b/>
        </w:rPr>
        <w:t>7.</w:t>
      </w:r>
      <w:r>
        <w:rPr>
          <w:b/>
        </w:rPr>
        <w:tab/>
        <w:t>Monitoring the Policy</w:t>
      </w:r>
    </w:p>
    <w:p w14:paraId="3D75598F" w14:textId="77777777" w:rsidR="00102FF8" w:rsidRDefault="00102FF8" w:rsidP="00102FF8">
      <w:pPr>
        <w:spacing w:after="160" w:line="259" w:lineRule="auto"/>
        <w:ind w:left="720" w:right="0" w:hanging="720"/>
        <w:jc w:val="left"/>
      </w:pPr>
      <w:r>
        <w:t>7.1</w:t>
      </w:r>
      <w:r>
        <w:tab/>
        <w:t>Confidential records will be kept of all matters raised through this Policy and shall be stored for no longer than is necessary and proportionate to comply with the provisions of the Act. The Council will conduct periodic reviews on the effectiveness of the Policy.</w:t>
      </w:r>
    </w:p>
    <w:p w14:paraId="59F9A93A" w14:textId="77777777" w:rsidR="00102FF8" w:rsidRDefault="00102FF8" w:rsidP="00102FF8">
      <w:pPr>
        <w:spacing w:after="160" w:line="259" w:lineRule="auto"/>
        <w:ind w:left="0" w:right="0" w:firstLine="0"/>
        <w:jc w:val="left"/>
      </w:pPr>
    </w:p>
    <w:p w14:paraId="59DDED96" w14:textId="77777777" w:rsidR="00102FF8" w:rsidRDefault="00102FF8" w:rsidP="00102FF8">
      <w:pPr>
        <w:spacing w:after="160" w:line="259" w:lineRule="auto"/>
        <w:ind w:left="720" w:right="0" w:hanging="720"/>
        <w:jc w:val="left"/>
      </w:pPr>
      <w:r>
        <w:t>7.2</w:t>
      </w:r>
      <w:r w:rsidRPr="00FB523D">
        <w:t xml:space="preserve"> </w:t>
      </w:r>
      <w:r>
        <w:tab/>
        <w:t xml:space="preserve">All public bodies are obliged to publish details of Protected Disclosures received on an annual basis in a manner which does not identify the persons involved. </w:t>
      </w:r>
    </w:p>
    <w:p w14:paraId="31F07354" w14:textId="77777777" w:rsidR="00102FF8" w:rsidRDefault="00102FF8" w:rsidP="00102FF8">
      <w:pPr>
        <w:spacing w:after="160" w:line="259" w:lineRule="auto"/>
        <w:ind w:left="0" w:right="0" w:firstLine="0"/>
        <w:jc w:val="left"/>
      </w:pPr>
    </w:p>
    <w:p w14:paraId="70851D34" w14:textId="77777777" w:rsidR="00102FF8" w:rsidRDefault="00102FF8" w:rsidP="00102FF8">
      <w:pPr>
        <w:spacing w:after="160" w:line="259" w:lineRule="auto"/>
        <w:ind w:left="0" w:right="0" w:firstLine="0"/>
        <w:jc w:val="left"/>
      </w:pPr>
      <w:r>
        <w:rPr>
          <w:b/>
        </w:rPr>
        <w:t>Nothing in this Protected Disclosures Policy shall affect the statutory rights of staff members.</w:t>
      </w:r>
    </w:p>
    <w:p w14:paraId="2CE3EFC8" w14:textId="01ADC8F6" w:rsidR="00FB523D" w:rsidRDefault="00FB523D" w:rsidP="002A0582">
      <w:pPr>
        <w:ind w:left="0" w:right="41" w:firstLine="0"/>
      </w:pPr>
    </w:p>
    <w:sectPr w:rsidR="00FB523D">
      <w:headerReference w:type="even" r:id="rId14"/>
      <w:headerReference w:type="default" r:id="rId15"/>
      <w:footerReference w:type="even" r:id="rId16"/>
      <w:footerReference w:type="default" r:id="rId17"/>
      <w:headerReference w:type="first" r:id="rId18"/>
      <w:footerReference w:type="first" r:id="rId19"/>
      <w:pgSz w:w="11900" w:h="1684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6275" w14:textId="77777777" w:rsidR="00D24DBA" w:rsidRDefault="00D24DBA">
      <w:pPr>
        <w:spacing w:after="0" w:line="240" w:lineRule="auto"/>
      </w:pPr>
      <w:r>
        <w:separator/>
      </w:r>
    </w:p>
  </w:endnote>
  <w:endnote w:type="continuationSeparator" w:id="0">
    <w:p w14:paraId="4C09C6A8" w14:textId="77777777" w:rsidR="00D24DBA" w:rsidRDefault="00D2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DA35" w14:textId="77777777" w:rsidR="00C52B3D" w:rsidRDefault="00C52B3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042089"/>
      <w:docPartObj>
        <w:docPartGallery w:val="Page Numbers (Bottom of Page)"/>
        <w:docPartUnique/>
      </w:docPartObj>
    </w:sdtPr>
    <w:sdtEndPr/>
    <w:sdtContent>
      <w:sdt>
        <w:sdtPr>
          <w:id w:val="-1769616900"/>
          <w:docPartObj>
            <w:docPartGallery w:val="Page Numbers (Top of Page)"/>
            <w:docPartUnique/>
          </w:docPartObj>
        </w:sdtPr>
        <w:sdtEndPr/>
        <w:sdtContent>
          <w:p w14:paraId="4EE591A3" w14:textId="77777777" w:rsidR="00936C6A" w:rsidRDefault="00936C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5810F241" w14:textId="77777777" w:rsidR="00C52B3D" w:rsidRDefault="00C52B3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FF46" w14:textId="77777777" w:rsidR="00C52B3D" w:rsidRDefault="00C52B3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6584" w14:textId="77777777" w:rsidR="00C52B3D" w:rsidRDefault="00C52B3D">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7C72" w14:textId="77777777" w:rsidR="00C52B3D" w:rsidRDefault="00C52B3D">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875F" w14:textId="77777777" w:rsidR="00C52B3D" w:rsidRDefault="00C52B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3689" w14:textId="77777777" w:rsidR="00D24DBA" w:rsidRDefault="00D24DBA">
      <w:pPr>
        <w:spacing w:after="0" w:line="240" w:lineRule="auto"/>
      </w:pPr>
      <w:r>
        <w:separator/>
      </w:r>
    </w:p>
  </w:footnote>
  <w:footnote w:type="continuationSeparator" w:id="0">
    <w:p w14:paraId="3E9DCCF4" w14:textId="77777777" w:rsidR="00D24DBA" w:rsidRDefault="00D2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14D2" w14:textId="77777777" w:rsidR="00C52B3D" w:rsidRDefault="00C52B3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C94F" w14:textId="77777777" w:rsidR="00C52B3D" w:rsidRDefault="00C52B3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947E" w14:textId="77777777" w:rsidR="00C52B3D" w:rsidRDefault="00C52B3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082B" w14:textId="77777777" w:rsidR="00C52B3D" w:rsidRDefault="00C52B3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1F47" w14:textId="77777777" w:rsidR="00C52B3D" w:rsidRDefault="00C52B3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FE6E" w14:textId="77777777" w:rsidR="00C52B3D" w:rsidRDefault="00C52B3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2A26"/>
    <w:multiLevelType w:val="hybridMultilevel"/>
    <w:tmpl w:val="3FF40450"/>
    <w:lvl w:ilvl="0" w:tplc="E39A40BE">
      <w:start w:val="1"/>
      <w:numFmt w:val="lowerLetter"/>
      <w:lvlText w:val="%1)"/>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EC7134">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86AAFC">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E224E4">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66082">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24F56">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585AF2">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8EDAA">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2D770">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DE2ACC"/>
    <w:multiLevelType w:val="hybridMultilevel"/>
    <w:tmpl w:val="358CBA76"/>
    <w:lvl w:ilvl="0" w:tplc="CCD2393E">
      <w:start w:val="9"/>
      <w:numFmt w:val="lowerLetter"/>
      <w:lvlText w:val="(%1)"/>
      <w:lvlJc w:val="left"/>
      <w:pPr>
        <w:ind w:left="2122"/>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lvl w:ilvl="1" w:tplc="71960010">
      <w:start w:val="1"/>
      <w:numFmt w:val="lowerLetter"/>
      <w:lvlText w:val="%2"/>
      <w:lvlJc w:val="left"/>
      <w:pPr>
        <w:ind w:left="1800"/>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lvl w:ilvl="2" w:tplc="C09E1808">
      <w:start w:val="1"/>
      <w:numFmt w:val="lowerRoman"/>
      <w:lvlText w:val="%3"/>
      <w:lvlJc w:val="left"/>
      <w:pPr>
        <w:ind w:left="2520"/>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lvl w:ilvl="3" w:tplc="3EF6B030">
      <w:start w:val="1"/>
      <w:numFmt w:val="decimal"/>
      <w:lvlText w:val="%4"/>
      <w:lvlJc w:val="left"/>
      <w:pPr>
        <w:ind w:left="3240"/>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lvl w:ilvl="4" w:tplc="91E475F0">
      <w:start w:val="1"/>
      <w:numFmt w:val="lowerLetter"/>
      <w:lvlText w:val="%5"/>
      <w:lvlJc w:val="left"/>
      <w:pPr>
        <w:ind w:left="3960"/>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lvl w:ilvl="5" w:tplc="E326BEA6">
      <w:start w:val="1"/>
      <w:numFmt w:val="lowerRoman"/>
      <w:lvlText w:val="%6"/>
      <w:lvlJc w:val="left"/>
      <w:pPr>
        <w:ind w:left="4680"/>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lvl w:ilvl="6" w:tplc="691A6BE8">
      <w:start w:val="1"/>
      <w:numFmt w:val="decimal"/>
      <w:lvlText w:val="%7"/>
      <w:lvlJc w:val="left"/>
      <w:pPr>
        <w:ind w:left="5400"/>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lvl w:ilvl="7" w:tplc="16180DE2">
      <w:start w:val="1"/>
      <w:numFmt w:val="lowerLetter"/>
      <w:lvlText w:val="%8"/>
      <w:lvlJc w:val="left"/>
      <w:pPr>
        <w:ind w:left="6120"/>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lvl w:ilvl="8" w:tplc="EEEC747E">
      <w:start w:val="1"/>
      <w:numFmt w:val="lowerRoman"/>
      <w:lvlText w:val="%9"/>
      <w:lvlJc w:val="left"/>
      <w:pPr>
        <w:ind w:left="6840"/>
      </w:pPr>
      <w:rPr>
        <w:rFonts w:ascii="Arial" w:eastAsia="Arial" w:hAnsi="Arial" w:cs="Arial"/>
        <w:b w:val="0"/>
        <w:i w:val="0"/>
        <w:strike/>
        <w:dstrike w:val="0"/>
        <w:color w:val="FF0000"/>
        <w:sz w:val="22"/>
        <w:szCs w:val="22"/>
        <w:u w:val="none" w:color="000000"/>
        <w:bdr w:val="none" w:sz="0" w:space="0" w:color="auto"/>
        <w:shd w:val="clear" w:color="auto" w:fill="auto"/>
        <w:vertAlign w:val="baseline"/>
      </w:rPr>
    </w:lvl>
  </w:abstractNum>
  <w:abstractNum w:abstractNumId="2" w15:restartNumberingAfterBreak="0">
    <w:nsid w:val="41406700"/>
    <w:multiLevelType w:val="hybridMultilevel"/>
    <w:tmpl w:val="F1841C1A"/>
    <w:lvl w:ilvl="0" w:tplc="32DC6AB8">
      <w:start w:val="1"/>
      <w:numFmt w:val="decimal"/>
      <w:lvlText w:val="%1"/>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5148870">
      <w:start w:val="1"/>
      <w:numFmt w:val="lowerLetter"/>
      <w:lvlText w:val="%2"/>
      <w:lvlJc w:val="left"/>
      <w:pPr>
        <w:ind w:left="1498"/>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2" w:tplc="C4AA23AC">
      <w:start w:val="1"/>
      <w:numFmt w:val="lowerRoman"/>
      <w:lvlText w:val="%3"/>
      <w:lvlJc w:val="left"/>
      <w:pPr>
        <w:ind w:left="2635"/>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028D34A">
      <w:start w:val="1"/>
      <w:numFmt w:val="lowerRoman"/>
      <w:lvlRestart w:val="0"/>
      <w:lvlText w:val="(%4)"/>
      <w:lvlJc w:val="left"/>
      <w:pPr>
        <w:ind w:left="3758"/>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FBD83A3A">
      <w:start w:val="1"/>
      <w:numFmt w:val="lowerLetter"/>
      <w:lvlText w:val="%5"/>
      <w:lvlJc w:val="left"/>
      <w:pPr>
        <w:ind w:left="449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5" w:tplc="413E667A">
      <w:start w:val="1"/>
      <w:numFmt w:val="lowerRoman"/>
      <w:lvlText w:val="%6"/>
      <w:lvlJc w:val="left"/>
      <w:pPr>
        <w:ind w:left="521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E5F4832A">
      <w:start w:val="1"/>
      <w:numFmt w:val="decimal"/>
      <w:lvlText w:val="%7"/>
      <w:lvlJc w:val="left"/>
      <w:pPr>
        <w:ind w:left="593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5746982E">
      <w:start w:val="1"/>
      <w:numFmt w:val="lowerLetter"/>
      <w:lvlText w:val="%8"/>
      <w:lvlJc w:val="left"/>
      <w:pPr>
        <w:ind w:left="665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8" w:tplc="C7164CC6">
      <w:start w:val="1"/>
      <w:numFmt w:val="lowerRoman"/>
      <w:lvlText w:val="%9"/>
      <w:lvlJc w:val="left"/>
      <w:pPr>
        <w:ind w:left="737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abstractNum>
  <w:abstractNum w:abstractNumId="3" w15:restartNumberingAfterBreak="0">
    <w:nsid w:val="4AF021EF"/>
    <w:multiLevelType w:val="hybridMultilevel"/>
    <w:tmpl w:val="E62492C2"/>
    <w:lvl w:ilvl="0" w:tplc="5DFC285E">
      <w:start w:val="1"/>
      <w:numFmt w:val="lowerLetter"/>
      <w:lvlText w:val="(%1.)"/>
      <w:lvlJc w:val="left"/>
      <w:pPr>
        <w:ind w:left="2565" w:hanging="560"/>
      </w:pPr>
      <w:rPr>
        <w:rFonts w:hint="default"/>
      </w:rPr>
    </w:lvl>
    <w:lvl w:ilvl="1" w:tplc="08090019" w:tentative="1">
      <w:start w:val="1"/>
      <w:numFmt w:val="lowerLetter"/>
      <w:lvlText w:val="%2."/>
      <w:lvlJc w:val="left"/>
      <w:pPr>
        <w:ind w:left="3085" w:hanging="360"/>
      </w:pPr>
    </w:lvl>
    <w:lvl w:ilvl="2" w:tplc="0809001B" w:tentative="1">
      <w:start w:val="1"/>
      <w:numFmt w:val="lowerRoman"/>
      <w:lvlText w:val="%3."/>
      <w:lvlJc w:val="right"/>
      <w:pPr>
        <w:ind w:left="3805" w:hanging="180"/>
      </w:pPr>
    </w:lvl>
    <w:lvl w:ilvl="3" w:tplc="0809000F" w:tentative="1">
      <w:start w:val="1"/>
      <w:numFmt w:val="decimal"/>
      <w:lvlText w:val="%4."/>
      <w:lvlJc w:val="left"/>
      <w:pPr>
        <w:ind w:left="4525" w:hanging="360"/>
      </w:pPr>
    </w:lvl>
    <w:lvl w:ilvl="4" w:tplc="08090019" w:tentative="1">
      <w:start w:val="1"/>
      <w:numFmt w:val="lowerLetter"/>
      <w:lvlText w:val="%5."/>
      <w:lvlJc w:val="left"/>
      <w:pPr>
        <w:ind w:left="5245" w:hanging="360"/>
      </w:pPr>
    </w:lvl>
    <w:lvl w:ilvl="5" w:tplc="0809001B" w:tentative="1">
      <w:start w:val="1"/>
      <w:numFmt w:val="lowerRoman"/>
      <w:lvlText w:val="%6."/>
      <w:lvlJc w:val="right"/>
      <w:pPr>
        <w:ind w:left="5965" w:hanging="180"/>
      </w:pPr>
    </w:lvl>
    <w:lvl w:ilvl="6" w:tplc="0809000F" w:tentative="1">
      <w:start w:val="1"/>
      <w:numFmt w:val="decimal"/>
      <w:lvlText w:val="%7."/>
      <w:lvlJc w:val="left"/>
      <w:pPr>
        <w:ind w:left="6685" w:hanging="360"/>
      </w:pPr>
    </w:lvl>
    <w:lvl w:ilvl="7" w:tplc="08090019" w:tentative="1">
      <w:start w:val="1"/>
      <w:numFmt w:val="lowerLetter"/>
      <w:lvlText w:val="%8."/>
      <w:lvlJc w:val="left"/>
      <w:pPr>
        <w:ind w:left="7405" w:hanging="360"/>
      </w:pPr>
    </w:lvl>
    <w:lvl w:ilvl="8" w:tplc="0809001B" w:tentative="1">
      <w:start w:val="1"/>
      <w:numFmt w:val="lowerRoman"/>
      <w:lvlText w:val="%9."/>
      <w:lvlJc w:val="right"/>
      <w:pPr>
        <w:ind w:left="8125" w:hanging="180"/>
      </w:pPr>
    </w:lvl>
  </w:abstractNum>
  <w:abstractNum w:abstractNumId="4" w15:restartNumberingAfterBreak="0">
    <w:nsid w:val="52485C73"/>
    <w:multiLevelType w:val="multilevel"/>
    <w:tmpl w:val="6E3EE392"/>
    <w:lvl w:ilvl="0">
      <w:start w:val="3"/>
      <w:numFmt w:val="decimal"/>
      <w:lvlText w:val="%1"/>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start w:val="4"/>
      <w:numFmt w:val="decimal"/>
      <w:lvlRestart w:val="0"/>
      <w:lvlText w:val="%1.%2"/>
      <w:lvlJc w:val="left"/>
      <w:pPr>
        <w:ind w:left="127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23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start w:val="1"/>
      <w:numFmt w:val="decimal"/>
      <w:lvlText w:val="%4"/>
      <w:lvlJc w:val="left"/>
      <w:pPr>
        <w:ind w:left="295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start w:val="1"/>
      <w:numFmt w:val="lowerLetter"/>
      <w:lvlText w:val="%5"/>
      <w:lvlJc w:val="left"/>
      <w:pPr>
        <w:ind w:left="367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5">
      <w:start w:val="1"/>
      <w:numFmt w:val="lowerRoman"/>
      <w:lvlText w:val="%6"/>
      <w:lvlJc w:val="left"/>
      <w:pPr>
        <w:ind w:left="439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start w:val="1"/>
      <w:numFmt w:val="decimal"/>
      <w:lvlText w:val="%7"/>
      <w:lvlJc w:val="left"/>
      <w:pPr>
        <w:ind w:left="51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start w:val="1"/>
      <w:numFmt w:val="lowerLetter"/>
      <w:lvlText w:val="%8"/>
      <w:lvlJc w:val="left"/>
      <w:pPr>
        <w:ind w:left="583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8">
      <w:start w:val="1"/>
      <w:numFmt w:val="lowerRoman"/>
      <w:lvlText w:val="%9"/>
      <w:lvlJc w:val="left"/>
      <w:pPr>
        <w:ind w:left="655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abstractNum>
  <w:abstractNum w:abstractNumId="5" w15:restartNumberingAfterBreak="0">
    <w:nsid w:val="78C72AC2"/>
    <w:multiLevelType w:val="hybridMultilevel"/>
    <w:tmpl w:val="0FD60264"/>
    <w:lvl w:ilvl="0" w:tplc="18090001">
      <w:start w:val="1"/>
      <w:numFmt w:val="bullet"/>
      <w:lvlText w:val=""/>
      <w:lvlJc w:val="left"/>
      <w:pPr>
        <w:ind w:left="1762" w:hanging="360"/>
      </w:pPr>
      <w:rPr>
        <w:rFonts w:ascii="Symbol" w:hAnsi="Symbol" w:hint="default"/>
      </w:rPr>
    </w:lvl>
    <w:lvl w:ilvl="1" w:tplc="18090003" w:tentative="1">
      <w:start w:val="1"/>
      <w:numFmt w:val="bullet"/>
      <w:lvlText w:val="o"/>
      <w:lvlJc w:val="left"/>
      <w:pPr>
        <w:ind w:left="2482" w:hanging="360"/>
      </w:pPr>
      <w:rPr>
        <w:rFonts w:ascii="Courier New" w:hAnsi="Courier New" w:cs="Courier New" w:hint="default"/>
      </w:rPr>
    </w:lvl>
    <w:lvl w:ilvl="2" w:tplc="18090005" w:tentative="1">
      <w:start w:val="1"/>
      <w:numFmt w:val="bullet"/>
      <w:lvlText w:val=""/>
      <w:lvlJc w:val="left"/>
      <w:pPr>
        <w:ind w:left="3202" w:hanging="360"/>
      </w:pPr>
      <w:rPr>
        <w:rFonts w:ascii="Wingdings" w:hAnsi="Wingdings" w:hint="default"/>
      </w:rPr>
    </w:lvl>
    <w:lvl w:ilvl="3" w:tplc="18090001" w:tentative="1">
      <w:start w:val="1"/>
      <w:numFmt w:val="bullet"/>
      <w:lvlText w:val=""/>
      <w:lvlJc w:val="left"/>
      <w:pPr>
        <w:ind w:left="3922" w:hanging="360"/>
      </w:pPr>
      <w:rPr>
        <w:rFonts w:ascii="Symbol" w:hAnsi="Symbol" w:hint="default"/>
      </w:rPr>
    </w:lvl>
    <w:lvl w:ilvl="4" w:tplc="18090003" w:tentative="1">
      <w:start w:val="1"/>
      <w:numFmt w:val="bullet"/>
      <w:lvlText w:val="o"/>
      <w:lvlJc w:val="left"/>
      <w:pPr>
        <w:ind w:left="4642" w:hanging="360"/>
      </w:pPr>
      <w:rPr>
        <w:rFonts w:ascii="Courier New" w:hAnsi="Courier New" w:cs="Courier New" w:hint="default"/>
      </w:rPr>
    </w:lvl>
    <w:lvl w:ilvl="5" w:tplc="18090005" w:tentative="1">
      <w:start w:val="1"/>
      <w:numFmt w:val="bullet"/>
      <w:lvlText w:val=""/>
      <w:lvlJc w:val="left"/>
      <w:pPr>
        <w:ind w:left="5362" w:hanging="360"/>
      </w:pPr>
      <w:rPr>
        <w:rFonts w:ascii="Wingdings" w:hAnsi="Wingdings" w:hint="default"/>
      </w:rPr>
    </w:lvl>
    <w:lvl w:ilvl="6" w:tplc="18090001" w:tentative="1">
      <w:start w:val="1"/>
      <w:numFmt w:val="bullet"/>
      <w:lvlText w:val=""/>
      <w:lvlJc w:val="left"/>
      <w:pPr>
        <w:ind w:left="6082" w:hanging="360"/>
      </w:pPr>
      <w:rPr>
        <w:rFonts w:ascii="Symbol" w:hAnsi="Symbol" w:hint="default"/>
      </w:rPr>
    </w:lvl>
    <w:lvl w:ilvl="7" w:tplc="18090003" w:tentative="1">
      <w:start w:val="1"/>
      <w:numFmt w:val="bullet"/>
      <w:lvlText w:val="o"/>
      <w:lvlJc w:val="left"/>
      <w:pPr>
        <w:ind w:left="6802" w:hanging="360"/>
      </w:pPr>
      <w:rPr>
        <w:rFonts w:ascii="Courier New" w:hAnsi="Courier New" w:cs="Courier New" w:hint="default"/>
      </w:rPr>
    </w:lvl>
    <w:lvl w:ilvl="8" w:tplc="18090005" w:tentative="1">
      <w:start w:val="1"/>
      <w:numFmt w:val="bullet"/>
      <w:lvlText w:val=""/>
      <w:lvlJc w:val="left"/>
      <w:pPr>
        <w:ind w:left="7522" w:hanging="360"/>
      </w:pPr>
      <w:rPr>
        <w:rFonts w:ascii="Wingdings" w:hAnsi="Wingdings" w:hint="default"/>
      </w:rPr>
    </w:lvl>
  </w:abstractNum>
  <w:abstractNum w:abstractNumId="6" w15:restartNumberingAfterBreak="0">
    <w:nsid w:val="799C3317"/>
    <w:multiLevelType w:val="hybridMultilevel"/>
    <w:tmpl w:val="78583A96"/>
    <w:lvl w:ilvl="0" w:tplc="1874632A">
      <w:start w:val="1"/>
      <w:numFmt w:val="lowerLetter"/>
      <w:lvlText w:val="(%1)"/>
      <w:lvlJc w:val="left"/>
      <w:pPr>
        <w:ind w:left="2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CA089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8CAE4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D43F5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0E0A0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806F7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6669B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8974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FC513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87237620">
    <w:abstractNumId w:val="6"/>
  </w:num>
  <w:num w:numId="2" w16cid:durableId="1629705435">
    <w:abstractNumId w:val="1"/>
  </w:num>
  <w:num w:numId="3" w16cid:durableId="1717659672">
    <w:abstractNumId w:val="0"/>
  </w:num>
  <w:num w:numId="4" w16cid:durableId="938026741">
    <w:abstractNumId w:val="2"/>
  </w:num>
  <w:num w:numId="5" w16cid:durableId="1983539505">
    <w:abstractNumId w:val="4"/>
  </w:num>
  <w:num w:numId="6" w16cid:durableId="715006098">
    <w:abstractNumId w:val="3"/>
  </w:num>
  <w:num w:numId="7" w16cid:durableId="1962832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B3D"/>
    <w:rsid w:val="000001F9"/>
    <w:rsid w:val="000052BA"/>
    <w:rsid w:val="00014A24"/>
    <w:rsid w:val="00054A85"/>
    <w:rsid w:val="00102FF8"/>
    <w:rsid w:val="00163D42"/>
    <w:rsid w:val="00170508"/>
    <w:rsid w:val="00222F1A"/>
    <w:rsid w:val="002A0582"/>
    <w:rsid w:val="002A734F"/>
    <w:rsid w:val="002D227D"/>
    <w:rsid w:val="002E3946"/>
    <w:rsid w:val="00324694"/>
    <w:rsid w:val="00334ABC"/>
    <w:rsid w:val="003525B3"/>
    <w:rsid w:val="003A604E"/>
    <w:rsid w:val="003E2FA4"/>
    <w:rsid w:val="0040114D"/>
    <w:rsid w:val="0043379D"/>
    <w:rsid w:val="00461341"/>
    <w:rsid w:val="004A243F"/>
    <w:rsid w:val="005045CD"/>
    <w:rsid w:val="00547FF3"/>
    <w:rsid w:val="00556FD2"/>
    <w:rsid w:val="005834C6"/>
    <w:rsid w:val="005A1157"/>
    <w:rsid w:val="005D0E18"/>
    <w:rsid w:val="006010D5"/>
    <w:rsid w:val="00606D9B"/>
    <w:rsid w:val="00610BBF"/>
    <w:rsid w:val="00651A36"/>
    <w:rsid w:val="00667947"/>
    <w:rsid w:val="00683A9B"/>
    <w:rsid w:val="006A1ABB"/>
    <w:rsid w:val="006C07E9"/>
    <w:rsid w:val="006F6B74"/>
    <w:rsid w:val="007172D4"/>
    <w:rsid w:val="007202AB"/>
    <w:rsid w:val="00731D78"/>
    <w:rsid w:val="0073532F"/>
    <w:rsid w:val="00750E44"/>
    <w:rsid w:val="007F2ECC"/>
    <w:rsid w:val="00832023"/>
    <w:rsid w:val="00851B4B"/>
    <w:rsid w:val="008610FF"/>
    <w:rsid w:val="0086200B"/>
    <w:rsid w:val="008C0A03"/>
    <w:rsid w:val="008C4713"/>
    <w:rsid w:val="0092691B"/>
    <w:rsid w:val="00936C6A"/>
    <w:rsid w:val="0096306B"/>
    <w:rsid w:val="009679D9"/>
    <w:rsid w:val="009C18F7"/>
    <w:rsid w:val="00A42447"/>
    <w:rsid w:val="00A46684"/>
    <w:rsid w:val="00A65C47"/>
    <w:rsid w:val="00AC4080"/>
    <w:rsid w:val="00B36B51"/>
    <w:rsid w:val="00B41579"/>
    <w:rsid w:val="00B92F93"/>
    <w:rsid w:val="00BA3C36"/>
    <w:rsid w:val="00BD0407"/>
    <w:rsid w:val="00BE4D1E"/>
    <w:rsid w:val="00C035AE"/>
    <w:rsid w:val="00C316EB"/>
    <w:rsid w:val="00C52B3D"/>
    <w:rsid w:val="00C9231E"/>
    <w:rsid w:val="00CA77FA"/>
    <w:rsid w:val="00CB6B40"/>
    <w:rsid w:val="00CC7041"/>
    <w:rsid w:val="00D06BE1"/>
    <w:rsid w:val="00D2306B"/>
    <w:rsid w:val="00D24DBA"/>
    <w:rsid w:val="00D30016"/>
    <w:rsid w:val="00D31B70"/>
    <w:rsid w:val="00D96327"/>
    <w:rsid w:val="00DF43EE"/>
    <w:rsid w:val="00E01DCD"/>
    <w:rsid w:val="00E2478A"/>
    <w:rsid w:val="00E403EB"/>
    <w:rsid w:val="00E53017"/>
    <w:rsid w:val="00E84B8B"/>
    <w:rsid w:val="00E876B7"/>
    <w:rsid w:val="00E934B1"/>
    <w:rsid w:val="00ED2B94"/>
    <w:rsid w:val="00F32163"/>
    <w:rsid w:val="00F35A1B"/>
    <w:rsid w:val="00F80B94"/>
    <w:rsid w:val="00FA5BCD"/>
    <w:rsid w:val="00FB523D"/>
    <w:rsid w:val="00FF6ECF"/>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F570"/>
  <w15:docId w15:val="{395AF98B-AF6C-4841-81F5-F3C5695D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51" w:lineRule="auto"/>
      <w:ind w:left="1760" w:right="46" w:hanging="71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2"/>
      <w:ind w:left="1042"/>
      <w:outlineLvl w:val="0"/>
    </w:pPr>
    <w:rPr>
      <w:rFonts w:ascii="Arial" w:eastAsia="Arial" w:hAnsi="Arial" w:cs="Arial"/>
      <w:b/>
      <w:color w:val="279ABD"/>
      <w:sz w:val="36"/>
    </w:rPr>
  </w:style>
  <w:style w:type="paragraph" w:styleId="Heading2">
    <w:name w:val="heading 2"/>
    <w:next w:val="Normal"/>
    <w:link w:val="Heading2Char"/>
    <w:uiPriority w:val="9"/>
    <w:unhideWhenUsed/>
    <w:qFormat/>
    <w:pPr>
      <w:keepNext/>
      <w:keepLines/>
      <w:spacing w:after="257"/>
      <w:ind w:left="1052"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279ABD"/>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A1ABB"/>
    <w:pPr>
      <w:tabs>
        <w:tab w:val="center" w:pos="4680"/>
        <w:tab w:val="right" w:pos="9360"/>
      </w:tabs>
      <w:spacing w:after="0" w:line="240" w:lineRule="auto"/>
      <w:ind w:left="0" w:righ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6A1ABB"/>
    <w:rPr>
      <w:rFonts w:cs="Times New Roman"/>
      <w:lang w:val="en-US" w:eastAsia="en-US"/>
    </w:rPr>
  </w:style>
  <w:style w:type="paragraph" w:styleId="Revision">
    <w:name w:val="Revision"/>
    <w:hidden/>
    <w:uiPriority w:val="99"/>
    <w:semiHidden/>
    <w:rsid w:val="00334ABC"/>
    <w:pPr>
      <w:spacing w:after="0" w:line="240" w:lineRule="auto"/>
    </w:pPr>
    <w:rPr>
      <w:rFonts w:ascii="Arial" w:eastAsia="Arial" w:hAnsi="Arial" w:cs="Arial"/>
      <w:color w:val="000000"/>
    </w:rPr>
  </w:style>
  <w:style w:type="paragraph" w:styleId="ListParagraph">
    <w:name w:val="List Paragraph"/>
    <w:basedOn w:val="Normal"/>
    <w:uiPriority w:val="34"/>
    <w:qFormat/>
    <w:rsid w:val="00C9231E"/>
    <w:pPr>
      <w:ind w:left="720"/>
      <w:contextualSpacing/>
    </w:pPr>
  </w:style>
  <w:style w:type="character" w:styleId="CommentReference">
    <w:name w:val="annotation reference"/>
    <w:basedOn w:val="DefaultParagraphFont"/>
    <w:uiPriority w:val="99"/>
    <w:semiHidden/>
    <w:unhideWhenUsed/>
    <w:rsid w:val="00170508"/>
    <w:rPr>
      <w:sz w:val="16"/>
      <w:szCs w:val="16"/>
    </w:rPr>
  </w:style>
  <w:style w:type="paragraph" w:styleId="CommentText">
    <w:name w:val="annotation text"/>
    <w:basedOn w:val="Normal"/>
    <w:link w:val="CommentTextChar"/>
    <w:uiPriority w:val="99"/>
    <w:semiHidden/>
    <w:unhideWhenUsed/>
    <w:rsid w:val="00170508"/>
    <w:pPr>
      <w:spacing w:line="240" w:lineRule="auto"/>
    </w:pPr>
    <w:rPr>
      <w:sz w:val="20"/>
      <w:szCs w:val="20"/>
    </w:rPr>
  </w:style>
  <w:style w:type="character" w:customStyle="1" w:styleId="CommentTextChar">
    <w:name w:val="Comment Text Char"/>
    <w:basedOn w:val="DefaultParagraphFont"/>
    <w:link w:val="CommentText"/>
    <w:uiPriority w:val="99"/>
    <w:semiHidden/>
    <w:rsid w:val="0017050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70508"/>
    <w:rPr>
      <w:b/>
      <w:bCs/>
    </w:rPr>
  </w:style>
  <w:style w:type="character" w:customStyle="1" w:styleId="CommentSubjectChar">
    <w:name w:val="Comment Subject Char"/>
    <w:basedOn w:val="CommentTextChar"/>
    <w:link w:val="CommentSubject"/>
    <w:uiPriority w:val="99"/>
    <w:semiHidden/>
    <w:rsid w:val="00170508"/>
    <w:rPr>
      <w:rFonts w:ascii="Arial" w:eastAsia="Arial" w:hAnsi="Arial" w:cs="Arial"/>
      <w:b/>
      <w:bCs/>
      <w:color w:val="000000"/>
      <w:sz w:val="20"/>
      <w:szCs w:val="20"/>
    </w:rPr>
  </w:style>
  <w:style w:type="paragraph" w:styleId="NoSpacing">
    <w:name w:val="No Spacing"/>
    <w:uiPriority w:val="1"/>
    <w:qFormat/>
    <w:rsid w:val="00750E44"/>
    <w:pPr>
      <w:spacing w:after="0" w:line="240" w:lineRule="auto"/>
      <w:ind w:left="1760" w:right="46" w:hanging="718"/>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Litera Compare Redline</vt:lpstr>
    </vt:vector>
  </TitlesOfParts>
  <Company>CORU</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 Compare Redline</dc:title>
  <dc:subject/>
  <dc:creator>Sarah Keigher</dc:creator>
  <cp:keywords/>
  <cp:lastModifiedBy>Clodagh Oxley</cp:lastModifiedBy>
  <cp:revision>3</cp:revision>
  <cp:lastPrinted>2024-01-31T18:09:00Z</cp:lastPrinted>
  <dcterms:created xsi:type="dcterms:W3CDTF">2024-02-09T10:51:00Z</dcterms:created>
  <dcterms:modified xsi:type="dcterms:W3CDTF">2024-02-09T11:00:00Z</dcterms:modified>
</cp:coreProperties>
</file>